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C2" w:rsidRPr="001A3500" w:rsidRDefault="000F73C2">
      <w:pPr>
        <w:pStyle w:val="Heading1"/>
      </w:pPr>
    </w:p>
    <w:p w:rsidR="006F7DF9" w:rsidRPr="001A3500" w:rsidRDefault="006F7DF9">
      <w:pPr>
        <w:jc w:val="center"/>
        <w:rPr>
          <w:b/>
          <w:bCs/>
        </w:rPr>
      </w:pPr>
      <w:r w:rsidRPr="001A3500">
        <w:rPr>
          <w:b/>
          <w:bCs/>
        </w:rPr>
        <w:t>STANDARD OPERATING PROCEDURE</w:t>
      </w:r>
    </w:p>
    <w:p w:rsidR="00B4331D" w:rsidRDefault="00250945" w:rsidP="003A7EC0">
      <w:pPr>
        <w:jc w:val="center"/>
        <w:rPr>
          <w:b/>
          <w:bCs/>
        </w:rPr>
      </w:pPr>
      <w:proofErr w:type="spellStart"/>
      <w:r w:rsidRPr="001A3500">
        <w:rPr>
          <w:b/>
          <w:bCs/>
        </w:rPr>
        <w:t>Haemoglobin</w:t>
      </w:r>
      <w:proofErr w:type="spellEnd"/>
      <w:r w:rsidRPr="001A3500">
        <w:rPr>
          <w:b/>
          <w:bCs/>
        </w:rPr>
        <w:t xml:space="preserve"> deferral criteria</w:t>
      </w:r>
    </w:p>
    <w:p w:rsidR="001A3500" w:rsidRDefault="001A3500" w:rsidP="00220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center"/>
        <w:rPr>
          <w:b/>
          <w:bCs/>
        </w:rPr>
      </w:pPr>
      <w:r>
        <w:rPr>
          <w:b/>
          <w:bCs/>
        </w:rPr>
        <w:t>Notes</w:t>
      </w:r>
    </w:p>
    <w:p w:rsidR="0022097C" w:rsidRPr="0022097C" w:rsidRDefault="0022097C" w:rsidP="00220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both"/>
        <w:rPr>
          <w:bCs/>
        </w:rPr>
      </w:pPr>
      <w:r w:rsidRPr="0022097C">
        <w:rPr>
          <w:bCs/>
        </w:rPr>
        <w:t>This procedure must be adapted to conform to local requirements and to the test systems</w:t>
      </w:r>
      <w:r w:rsidR="00634475">
        <w:rPr>
          <w:bCs/>
        </w:rPr>
        <w:t>,</w:t>
      </w:r>
      <w:r w:rsidRPr="0022097C">
        <w:rPr>
          <w:bCs/>
        </w:rPr>
        <w:t xml:space="preserve"> reagents and equipment that are available to each organization.</w:t>
      </w:r>
    </w:p>
    <w:p w:rsidR="00BA3CEA" w:rsidRPr="001A3500" w:rsidRDefault="006F7DF9" w:rsidP="001A3500">
      <w:pPr>
        <w:numPr>
          <w:ilvl w:val="0"/>
          <w:numId w:val="1"/>
        </w:numPr>
        <w:spacing w:before="120" w:after="120"/>
        <w:ind w:left="351" w:hanging="357"/>
        <w:jc w:val="both"/>
      </w:pPr>
      <w:r w:rsidRPr="001A3500">
        <w:rPr>
          <w:b/>
          <w:bCs/>
        </w:rPr>
        <w:t>Introduction</w:t>
      </w:r>
    </w:p>
    <w:p w:rsidR="002F6637" w:rsidRPr="001A3500" w:rsidRDefault="004E29ED" w:rsidP="00037434">
      <w:pPr>
        <w:autoSpaceDE w:val="0"/>
        <w:autoSpaceDN w:val="0"/>
        <w:adjustRightInd w:val="0"/>
        <w:spacing w:after="120"/>
        <w:ind w:left="357"/>
        <w:jc w:val="both"/>
      </w:pPr>
      <w:r w:rsidRPr="001A3500">
        <w:t xml:space="preserve">All prospective blood </w:t>
      </w:r>
      <w:r w:rsidR="00FE1625" w:rsidRPr="001A3500">
        <w:t>donors undergo</w:t>
      </w:r>
      <w:r w:rsidR="002F6637" w:rsidRPr="001A3500">
        <w:t xml:space="preserve"> a screening process to assess their suitability</w:t>
      </w:r>
      <w:r w:rsidRPr="001A3500">
        <w:t xml:space="preserve"> to donate on that particular day. </w:t>
      </w:r>
      <w:r w:rsidR="002F6637" w:rsidRPr="001A3500">
        <w:t>The selection process must include an assessment of each donor carried out by a suitably qualified individual.</w:t>
      </w:r>
      <w:r w:rsidR="00A35FF7" w:rsidRPr="001A3500">
        <w:t xml:space="preserve"> Any unsuitable donor sho</w:t>
      </w:r>
      <w:r w:rsidR="00FE1625" w:rsidRPr="001A3500">
        <w:t>uld be deferred either temporarily</w:t>
      </w:r>
      <w:r w:rsidR="00A35FF7" w:rsidRPr="001A3500">
        <w:t xml:space="preserve"> or permanently.</w:t>
      </w:r>
    </w:p>
    <w:p w:rsidR="0022097C" w:rsidRPr="001A3500" w:rsidRDefault="0022097C" w:rsidP="0022097C">
      <w:pPr>
        <w:autoSpaceDE w:val="0"/>
        <w:autoSpaceDN w:val="0"/>
        <w:adjustRightInd w:val="0"/>
        <w:spacing w:after="120"/>
        <w:ind w:left="357"/>
        <w:jc w:val="both"/>
      </w:pPr>
      <w:r w:rsidRPr="001A3500">
        <w:t xml:space="preserve">The primary purpose of </w:t>
      </w:r>
      <w:proofErr w:type="spellStart"/>
      <w:r w:rsidRPr="001A3500">
        <w:t>haemoglobin</w:t>
      </w:r>
      <w:proofErr w:type="spellEnd"/>
      <w:r w:rsidRPr="001A3500">
        <w:t xml:space="preserve"> deferral is to safeguard the donor, i.e. preventing an </w:t>
      </w:r>
      <w:proofErr w:type="spellStart"/>
      <w:r w:rsidRPr="001A3500">
        <w:t>anaemic</w:t>
      </w:r>
      <w:proofErr w:type="spellEnd"/>
      <w:r w:rsidRPr="001A3500">
        <w:t xml:space="preserve"> individual from exacerbating their condition. The second purpose is to ensure that the patient receives quality product, i.e. that the </w:t>
      </w:r>
      <w:proofErr w:type="spellStart"/>
      <w:r w:rsidRPr="001A3500">
        <w:t>Hb</w:t>
      </w:r>
      <w:proofErr w:type="spellEnd"/>
      <w:r w:rsidRPr="001A3500">
        <w:t xml:space="preserve"> content of the donated blood meets the required criteria.</w:t>
      </w:r>
    </w:p>
    <w:p w:rsidR="00D8372F" w:rsidRPr="001A3500" w:rsidRDefault="00634475" w:rsidP="00037434">
      <w:pPr>
        <w:autoSpaceDE w:val="0"/>
        <w:autoSpaceDN w:val="0"/>
        <w:adjustRightInd w:val="0"/>
        <w:spacing w:after="120"/>
        <w:ind w:left="357"/>
        <w:jc w:val="both"/>
      </w:pPr>
      <w:r>
        <w:t xml:space="preserve">It has been well </w:t>
      </w:r>
      <w:proofErr w:type="spellStart"/>
      <w:r>
        <w:t>recognis</w:t>
      </w:r>
      <w:r w:rsidR="00D8372F" w:rsidRPr="001A3500">
        <w:t>ed</w:t>
      </w:r>
      <w:proofErr w:type="spellEnd"/>
      <w:r w:rsidR="00D8372F" w:rsidRPr="001A3500">
        <w:t xml:space="preserve"> that even short-term deferrals may have a long term</w:t>
      </w:r>
      <w:r w:rsidR="00E42028" w:rsidRPr="001A3500">
        <w:t xml:space="preserve"> </w:t>
      </w:r>
      <w:r w:rsidR="00D8372F" w:rsidRPr="001A3500">
        <w:t xml:space="preserve">impact on donor </w:t>
      </w:r>
      <w:proofErr w:type="spellStart"/>
      <w:r w:rsidR="00D8372F" w:rsidRPr="001A3500">
        <w:t>behavio</w:t>
      </w:r>
      <w:r>
        <w:t>u</w:t>
      </w:r>
      <w:r w:rsidR="00D8372F" w:rsidRPr="001A3500">
        <w:t>r</w:t>
      </w:r>
      <w:proofErr w:type="spellEnd"/>
      <w:r w:rsidR="00D8372F" w:rsidRPr="001A3500">
        <w:t>, an</w:t>
      </w:r>
      <w:r w:rsidR="00B2282E" w:rsidRPr="001A3500">
        <w:t>d ultimately on donor retention</w:t>
      </w:r>
      <w:r w:rsidR="00D8372F" w:rsidRPr="001A3500">
        <w:t>. In managing donor</w:t>
      </w:r>
      <w:r w:rsidR="00E42028" w:rsidRPr="001A3500">
        <w:t xml:space="preserve"> </w:t>
      </w:r>
      <w:r w:rsidR="00D8372F" w:rsidRPr="001A3500">
        <w:t>deferrals, it is essential to use appropriate strategies to maintain donor motivation</w:t>
      </w:r>
      <w:r w:rsidR="00E42028" w:rsidRPr="001A3500">
        <w:t xml:space="preserve"> </w:t>
      </w:r>
      <w:r w:rsidR="00D8372F" w:rsidRPr="001A3500">
        <w:t xml:space="preserve">and secure </w:t>
      </w:r>
      <w:r w:rsidR="00FE1625" w:rsidRPr="001A3500">
        <w:t xml:space="preserve">an </w:t>
      </w:r>
      <w:r w:rsidR="00D8372F" w:rsidRPr="001A3500">
        <w:t>early return to active donation at the end of the deferral period.</w:t>
      </w:r>
    </w:p>
    <w:p w:rsidR="00E42028" w:rsidRPr="001A3500" w:rsidRDefault="00AE53DD" w:rsidP="00E42028">
      <w:pPr>
        <w:autoSpaceDE w:val="0"/>
        <w:autoSpaceDN w:val="0"/>
        <w:adjustRightInd w:val="0"/>
        <w:spacing w:after="120"/>
        <w:ind w:left="357"/>
        <w:jc w:val="both"/>
      </w:pPr>
      <w:proofErr w:type="spellStart"/>
      <w:r w:rsidRPr="001A3500">
        <w:t>Haemoglobin</w:t>
      </w:r>
      <w:proofErr w:type="spellEnd"/>
      <w:r w:rsidRPr="001A3500">
        <w:t xml:space="preserve"> deferral </w:t>
      </w:r>
      <w:r w:rsidR="001A2B74" w:rsidRPr="001A3500">
        <w:t xml:space="preserve">is common </w:t>
      </w:r>
      <w:r w:rsidRPr="001A3500">
        <w:t xml:space="preserve">in </w:t>
      </w:r>
      <w:r w:rsidR="004E29ED" w:rsidRPr="001A3500">
        <w:t>f</w:t>
      </w:r>
      <w:r w:rsidRPr="001A3500">
        <w:t xml:space="preserve">emale donors and regular male donors </w:t>
      </w:r>
      <w:r w:rsidR="001A2B74" w:rsidRPr="001A3500">
        <w:t>as they are more prone to depleted</w:t>
      </w:r>
      <w:r w:rsidR="00E42028" w:rsidRPr="001A3500">
        <w:t xml:space="preserve"> </w:t>
      </w:r>
      <w:r w:rsidR="001A2B74" w:rsidRPr="001A3500">
        <w:t xml:space="preserve">iron stores and consequently low </w:t>
      </w:r>
      <w:proofErr w:type="spellStart"/>
      <w:r w:rsidR="001A2B74" w:rsidRPr="001A3500">
        <w:t>haemoglobin</w:t>
      </w:r>
      <w:proofErr w:type="spellEnd"/>
      <w:r w:rsidR="001A2B74" w:rsidRPr="001A3500">
        <w:t xml:space="preserve"> levels. </w:t>
      </w:r>
    </w:p>
    <w:p w:rsidR="006F7DF9" w:rsidRPr="001A3500" w:rsidRDefault="000505BD" w:rsidP="0022097C">
      <w:pPr>
        <w:numPr>
          <w:ilvl w:val="0"/>
          <w:numId w:val="1"/>
        </w:numPr>
        <w:spacing w:before="120" w:after="120"/>
        <w:ind w:left="351" w:hanging="357"/>
        <w:jc w:val="both"/>
        <w:rPr>
          <w:b/>
          <w:bCs/>
        </w:rPr>
      </w:pPr>
      <w:r w:rsidRPr="001A3500">
        <w:rPr>
          <w:b/>
          <w:bCs/>
        </w:rPr>
        <w:t xml:space="preserve">Purpose and </w:t>
      </w:r>
      <w:r w:rsidR="006F7DF9" w:rsidRPr="001A3500">
        <w:rPr>
          <w:b/>
          <w:bCs/>
        </w:rPr>
        <w:t>Scope</w:t>
      </w:r>
    </w:p>
    <w:p w:rsidR="002743D0" w:rsidRPr="001A3500" w:rsidRDefault="008D74AE" w:rsidP="0022097C">
      <w:pPr>
        <w:autoSpaceDE w:val="0"/>
        <w:autoSpaceDN w:val="0"/>
        <w:adjustRightInd w:val="0"/>
        <w:spacing w:after="120"/>
        <w:ind w:left="357"/>
        <w:jc w:val="both"/>
      </w:pPr>
      <w:r w:rsidRPr="001A3500">
        <w:t>This pro</w:t>
      </w:r>
      <w:r w:rsidR="0022097C">
        <w:t xml:space="preserve">cedure is to be used by </w:t>
      </w:r>
      <w:proofErr w:type="spellStart"/>
      <w:r w:rsidR="0022097C">
        <w:t>authoris</w:t>
      </w:r>
      <w:r w:rsidRPr="001A3500">
        <w:t>ed</w:t>
      </w:r>
      <w:proofErr w:type="spellEnd"/>
      <w:r w:rsidRPr="001A3500">
        <w:t xml:space="preserve"> personnel in the </w:t>
      </w:r>
      <w:r w:rsidR="001A3500">
        <w:t>blood donation clinic</w:t>
      </w:r>
      <w:r w:rsidRPr="001A3500">
        <w:t xml:space="preserve"> when deferring donors who have been found to have </w:t>
      </w:r>
      <w:proofErr w:type="spellStart"/>
      <w:r w:rsidRPr="001A3500">
        <w:t>Hb</w:t>
      </w:r>
      <w:proofErr w:type="spellEnd"/>
      <w:r w:rsidRPr="001A3500">
        <w:t xml:space="preserve"> levels below 125 g/</w:t>
      </w:r>
      <w:r w:rsidR="0022097C">
        <w:t>L</w:t>
      </w:r>
      <w:r w:rsidRPr="001A3500">
        <w:t>.</w:t>
      </w:r>
    </w:p>
    <w:p w:rsidR="00E9125A" w:rsidRPr="001A3500" w:rsidRDefault="00F23686" w:rsidP="000505BD">
      <w:pPr>
        <w:numPr>
          <w:ilvl w:val="0"/>
          <w:numId w:val="1"/>
        </w:numPr>
        <w:spacing w:before="120" w:after="120"/>
        <w:ind w:left="357"/>
        <w:jc w:val="both"/>
        <w:rPr>
          <w:b/>
          <w:bCs/>
        </w:rPr>
      </w:pPr>
      <w:r>
        <w:rPr>
          <w:b/>
          <w:bCs/>
        </w:rPr>
        <w:t xml:space="preserve">Acronyms and </w:t>
      </w:r>
      <w:r w:rsidR="00E9125A" w:rsidRPr="001A3500">
        <w:rPr>
          <w:b/>
          <w:bCs/>
        </w:rPr>
        <w:t>Definitions</w:t>
      </w:r>
    </w:p>
    <w:p w:rsidR="008C48A7" w:rsidRPr="001A3500" w:rsidRDefault="00A1154F" w:rsidP="00037434">
      <w:pPr>
        <w:numPr>
          <w:ilvl w:val="1"/>
          <w:numId w:val="1"/>
        </w:numPr>
        <w:ind w:left="862" w:hanging="505"/>
        <w:jc w:val="both"/>
        <w:rPr>
          <w:bCs/>
        </w:rPr>
      </w:pPr>
      <w:proofErr w:type="spellStart"/>
      <w:r w:rsidRPr="0022097C">
        <w:rPr>
          <w:b/>
          <w:bCs/>
        </w:rPr>
        <w:t>Hb</w:t>
      </w:r>
      <w:proofErr w:type="spellEnd"/>
      <w:r w:rsidR="0022097C">
        <w:rPr>
          <w:b/>
          <w:bCs/>
        </w:rPr>
        <w:t xml:space="preserve"> –</w:t>
      </w:r>
      <w:r w:rsidR="008C48A7" w:rsidRPr="001A3500">
        <w:rPr>
          <w:bCs/>
        </w:rPr>
        <w:t xml:space="preserve"> </w:t>
      </w:r>
      <w:proofErr w:type="spellStart"/>
      <w:r w:rsidRPr="001A3500">
        <w:rPr>
          <w:bCs/>
        </w:rPr>
        <w:t>Haemoglobin</w:t>
      </w:r>
      <w:proofErr w:type="spellEnd"/>
      <w:r w:rsidR="00AB5FD2">
        <w:rPr>
          <w:bCs/>
        </w:rPr>
        <w:t>.</w:t>
      </w:r>
    </w:p>
    <w:p w:rsidR="00FF39A1" w:rsidRPr="001A3500" w:rsidRDefault="001C57EF" w:rsidP="00037434">
      <w:pPr>
        <w:numPr>
          <w:ilvl w:val="1"/>
          <w:numId w:val="1"/>
        </w:numPr>
        <w:ind w:left="862" w:hanging="505"/>
        <w:jc w:val="both"/>
        <w:rPr>
          <w:bCs/>
        </w:rPr>
      </w:pPr>
      <w:r w:rsidRPr="0022097C">
        <w:rPr>
          <w:b/>
          <w:bCs/>
        </w:rPr>
        <w:t>SOP</w:t>
      </w:r>
      <w:r w:rsidR="0022097C">
        <w:rPr>
          <w:b/>
          <w:bCs/>
        </w:rPr>
        <w:t xml:space="preserve"> – </w:t>
      </w:r>
      <w:r w:rsidRPr="001A3500">
        <w:rPr>
          <w:bCs/>
        </w:rPr>
        <w:t>Standard Operating Procedure</w:t>
      </w:r>
      <w:r w:rsidR="00AB5FD2">
        <w:rPr>
          <w:bCs/>
        </w:rPr>
        <w:t>.</w:t>
      </w:r>
    </w:p>
    <w:p w:rsidR="00F23686" w:rsidRPr="00F23686" w:rsidRDefault="00F23686" w:rsidP="000505BD">
      <w:pPr>
        <w:numPr>
          <w:ilvl w:val="0"/>
          <w:numId w:val="1"/>
        </w:numPr>
        <w:spacing w:before="120" w:after="120"/>
        <w:ind w:left="357"/>
        <w:jc w:val="both"/>
        <w:rPr>
          <w:bCs/>
          <w:i/>
        </w:rPr>
      </w:pPr>
      <w:r>
        <w:rPr>
          <w:b/>
          <w:bCs/>
        </w:rPr>
        <w:t>Materials and equipment required</w:t>
      </w:r>
    </w:p>
    <w:p w:rsidR="00F23686" w:rsidRPr="00F23686" w:rsidRDefault="00F23686" w:rsidP="00F23686">
      <w:pPr>
        <w:numPr>
          <w:ilvl w:val="1"/>
          <w:numId w:val="1"/>
        </w:numPr>
        <w:spacing w:before="120" w:after="120"/>
        <w:jc w:val="both"/>
        <w:rPr>
          <w:bCs/>
          <w:i/>
        </w:rPr>
      </w:pPr>
      <w:r>
        <w:rPr>
          <w:bCs/>
        </w:rPr>
        <w:t xml:space="preserve">Donor’s Medical History Form with the quantitative </w:t>
      </w:r>
      <w:proofErr w:type="spellStart"/>
      <w:r>
        <w:rPr>
          <w:bCs/>
        </w:rPr>
        <w:t>Hb</w:t>
      </w:r>
      <w:proofErr w:type="spellEnd"/>
      <w:r>
        <w:rPr>
          <w:bCs/>
        </w:rPr>
        <w:t xml:space="preserve"> result.</w:t>
      </w:r>
    </w:p>
    <w:p w:rsidR="00F23686" w:rsidRPr="00F23686" w:rsidRDefault="00F23686" w:rsidP="000505BD">
      <w:pPr>
        <w:numPr>
          <w:ilvl w:val="0"/>
          <w:numId w:val="1"/>
        </w:numPr>
        <w:spacing w:before="120" w:after="120"/>
        <w:ind w:left="357"/>
        <w:jc w:val="both"/>
        <w:rPr>
          <w:bCs/>
          <w:i/>
        </w:rPr>
      </w:pPr>
      <w:r>
        <w:rPr>
          <w:b/>
          <w:bCs/>
        </w:rPr>
        <w:t>Safety</w:t>
      </w:r>
    </w:p>
    <w:p w:rsidR="00F23686" w:rsidRPr="003F73E8" w:rsidRDefault="00F23686" w:rsidP="00F23686">
      <w:pPr>
        <w:autoSpaceDE w:val="0"/>
        <w:autoSpaceDN w:val="0"/>
        <w:adjustRightInd w:val="0"/>
        <w:ind w:left="357"/>
        <w:jc w:val="both"/>
        <w:rPr>
          <w:bCs/>
        </w:rPr>
      </w:pPr>
      <w:r>
        <w:rPr>
          <w:bCs/>
        </w:rPr>
        <w:t>There are no significant safety concerns associated with this procedure.</w:t>
      </w:r>
    </w:p>
    <w:p w:rsidR="000505BD" w:rsidRPr="001A3500" w:rsidRDefault="000505BD" w:rsidP="000505BD">
      <w:pPr>
        <w:numPr>
          <w:ilvl w:val="0"/>
          <w:numId w:val="1"/>
        </w:numPr>
        <w:spacing w:before="120" w:after="120"/>
        <w:ind w:left="357"/>
        <w:jc w:val="both"/>
        <w:rPr>
          <w:bCs/>
          <w:i/>
        </w:rPr>
      </w:pPr>
      <w:r w:rsidRPr="001A3500">
        <w:rPr>
          <w:b/>
          <w:bCs/>
        </w:rPr>
        <w:t>Responsible</w:t>
      </w:r>
    </w:p>
    <w:p w:rsidR="00C45E0C" w:rsidRPr="001A3500" w:rsidRDefault="008D74AE" w:rsidP="00FE1625">
      <w:pPr>
        <w:autoSpaceDE w:val="0"/>
        <w:autoSpaceDN w:val="0"/>
        <w:adjustRightInd w:val="0"/>
        <w:ind w:left="357"/>
        <w:jc w:val="both"/>
      </w:pPr>
      <w:r w:rsidRPr="001A3500">
        <w:t xml:space="preserve">The </w:t>
      </w:r>
      <w:r w:rsidR="001A3500">
        <w:t xml:space="preserve">authorized </w:t>
      </w:r>
      <w:r w:rsidRPr="001A3500">
        <w:t>donor personnel dealing with the donor deferral is responsible for all the activities described in this procedure.</w:t>
      </w:r>
    </w:p>
    <w:p w:rsidR="000505BD" w:rsidRPr="001A3500" w:rsidRDefault="000505BD" w:rsidP="000505BD">
      <w:pPr>
        <w:numPr>
          <w:ilvl w:val="0"/>
          <w:numId w:val="1"/>
        </w:numPr>
        <w:spacing w:before="120" w:after="120"/>
        <w:ind w:left="357"/>
        <w:jc w:val="both"/>
        <w:rPr>
          <w:b/>
          <w:bCs/>
        </w:rPr>
      </w:pPr>
      <w:r w:rsidRPr="001A3500">
        <w:rPr>
          <w:b/>
          <w:bCs/>
        </w:rPr>
        <w:t>Procedure</w:t>
      </w:r>
    </w:p>
    <w:p w:rsidR="008D74AE" w:rsidRPr="001A3500" w:rsidRDefault="008D74AE" w:rsidP="00FE1625">
      <w:pPr>
        <w:numPr>
          <w:ilvl w:val="1"/>
          <w:numId w:val="1"/>
        </w:numPr>
        <w:jc w:val="both"/>
      </w:pPr>
      <w:r w:rsidRPr="001A3500">
        <w:t xml:space="preserve">Explain the </w:t>
      </w:r>
      <w:r w:rsidR="0022097C">
        <w:t xml:space="preserve">significance of the </w:t>
      </w:r>
      <w:proofErr w:type="spellStart"/>
      <w:r w:rsidRPr="001A3500">
        <w:t>Hb</w:t>
      </w:r>
      <w:proofErr w:type="spellEnd"/>
      <w:r w:rsidRPr="001A3500">
        <w:t xml:space="preserve"> result to the donor and answer any questions that the donor may have.</w:t>
      </w:r>
    </w:p>
    <w:p w:rsidR="00C32080" w:rsidRPr="001A3500" w:rsidRDefault="008D74AE" w:rsidP="00FE1625">
      <w:pPr>
        <w:numPr>
          <w:ilvl w:val="1"/>
          <w:numId w:val="1"/>
        </w:numPr>
        <w:jc w:val="both"/>
      </w:pPr>
      <w:r w:rsidRPr="001A3500">
        <w:lastRenderedPageBreak/>
        <w:t>Provide the donor with information regarding a diet that will improve red cell production, including foodstuffs that are rich in iron.</w:t>
      </w:r>
    </w:p>
    <w:p w:rsidR="008D74AE" w:rsidRPr="001A3500" w:rsidRDefault="00DA58AD" w:rsidP="00FE1625">
      <w:pPr>
        <w:numPr>
          <w:ilvl w:val="1"/>
          <w:numId w:val="1"/>
        </w:numPr>
        <w:jc w:val="both"/>
      </w:pPr>
      <w:r w:rsidRPr="001A3500">
        <w:t xml:space="preserve">Deferral periods for all </w:t>
      </w:r>
      <w:r w:rsidR="008D74AE" w:rsidRPr="001A3500">
        <w:t>donors:</w:t>
      </w:r>
    </w:p>
    <w:p w:rsidR="008D74AE" w:rsidRPr="001A3500" w:rsidRDefault="0095107A" w:rsidP="00FE1625">
      <w:pPr>
        <w:numPr>
          <w:ilvl w:val="2"/>
          <w:numId w:val="1"/>
        </w:numPr>
        <w:jc w:val="both"/>
      </w:pPr>
      <w:r w:rsidRPr="001A3500">
        <w:t xml:space="preserve">If the </w:t>
      </w:r>
      <w:proofErr w:type="spellStart"/>
      <w:r w:rsidRPr="001A3500">
        <w:t>Hb</w:t>
      </w:r>
      <w:proofErr w:type="spellEnd"/>
      <w:r w:rsidRPr="001A3500">
        <w:t xml:space="preserve"> is 124 g/</w:t>
      </w:r>
      <w:r w:rsidR="0022097C">
        <w:t>L</w:t>
      </w:r>
      <w:r w:rsidRPr="001A3500">
        <w:t xml:space="preserve"> to 105</w:t>
      </w:r>
      <w:r w:rsidR="008D74AE" w:rsidRPr="001A3500">
        <w:t xml:space="preserve"> g/</w:t>
      </w:r>
      <w:r w:rsidR="0022097C">
        <w:t>L</w:t>
      </w:r>
      <w:r w:rsidR="00F23686">
        <w:t>,</w:t>
      </w:r>
      <w:r w:rsidR="008D74AE" w:rsidRPr="001A3500">
        <w:t xml:space="preserve"> defer </w:t>
      </w:r>
      <w:r w:rsidR="00FE1625" w:rsidRPr="001A3500">
        <w:t>the donor</w:t>
      </w:r>
      <w:r w:rsidR="008D74AE" w:rsidRPr="001A3500">
        <w:t xml:space="preserve"> for three months.</w:t>
      </w:r>
    </w:p>
    <w:p w:rsidR="008D74AE" w:rsidRPr="001A3500" w:rsidRDefault="008D74AE" w:rsidP="0095107A">
      <w:pPr>
        <w:numPr>
          <w:ilvl w:val="2"/>
          <w:numId w:val="1"/>
        </w:numPr>
        <w:jc w:val="both"/>
      </w:pPr>
      <w:r w:rsidRPr="001A3500">
        <w:t xml:space="preserve">If the </w:t>
      </w:r>
      <w:proofErr w:type="spellStart"/>
      <w:r w:rsidRPr="001A3500">
        <w:t>Hb</w:t>
      </w:r>
      <w:proofErr w:type="spellEnd"/>
      <w:r w:rsidRPr="001A3500">
        <w:t xml:space="preserve"> is below 105 g/</w:t>
      </w:r>
      <w:r w:rsidR="0022097C">
        <w:t>L</w:t>
      </w:r>
      <w:r w:rsidR="00F23686">
        <w:t>,</w:t>
      </w:r>
      <w:r w:rsidRPr="001A3500">
        <w:t xml:space="preserve"> defer the donor for </w:t>
      </w:r>
      <w:r w:rsidR="0095107A" w:rsidRPr="001A3500">
        <w:t>six</w:t>
      </w:r>
      <w:r w:rsidRPr="001A3500">
        <w:t xml:space="preserve"> months and recommend that </w:t>
      </w:r>
      <w:r w:rsidR="00DA58AD" w:rsidRPr="001A3500">
        <w:t>he/</w:t>
      </w:r>
      <w:r w:rsidRPr="001A3500">
        <w:t>she consults h</w:t>
      </w:r>
      <w:r w:rsidR="00FE1625" w:rsidRPr="001A3500">
        <w:t>is/her</w:t>
      </w:r>
      <w:r w:rsidRPr="001A3500">
        <w:t xml:space="preserve"> doctor.</w:t>
      </w:r>
    </w:p>
    <w:p w:rsidR="00C57438" w:rsidRPr="001A3500" w:rsidRDefault="00787562" w:rsidP="00FE1625">
      <w:pPr>
        <w:numPr>
          <w:ilvl w:val="1"/>
          <w:numId w:val="1"/>
        </w:numPr>
        <w:jc w:val="both"/>
      </w:pPr>
      <w:r w:rsidRPr="001A3500">
        <w:t xml:space="preserve">Explain </w:t>
      </w:r>
      <w:r w:rsidR="00DA58AD" w:rsidRPr="001A3500">
        <w:t xml:space="preserve">to the donor </w:t>
      </w:r>
      <w:r w:rsidRPr="001A3500">
        <w:t>that</w:t>
      </w:r>
      <w:r w:rsidR="00C57438" w:rsidRPr="001A3500">
        <w:t xml:space="preserve"> the deferral is </w:t>
      </w:r>
      <w:r w:rsidR="00DA58AD" w:rsidRPr="001A3500">
        <w:t xml:space="preserve">in </w:t>
      </w:r>
      <w:r w:rsidR="0022097C">
        <w:t>the donor’s</w:t>
      </w:r>
      <w:r w:rsidR="00DA58AD" w:rsidRPr="001A3500">
        <w:t xml:space="preserve"> own best interests.</w:t>
      </w:r>
    </w:p>
    <w:p w:rsidR="00C32080" w:rsidRPr="001A3500" w:rsidRDefault="00C32080" w:rsidP="00FE1625">
      <w:pPr>
        <w:numPr>
          <w:ilvl w:val="1"/>
          <w:numId w:val="1"/>
        </w:numPr>
        <w:jc w:val="both"/>
      </w:pPr>
      <w:r w:rsidRPr="001A3500">
        <w:t>Explain the length of the deferral clearly to encourage the donor to view this merely as a short term interruption to their donating career</w:t>
      </w:r>
      <w:r w:rsidR="00AB5FD2">
        <w:t>.</w:t>
      </w:r>
    </w:p>
    <w:p w:rsidR="00DA58AD" w:rsidRPr="001A3500" w:rsidRDefault="00DA58AD" w:rsidP="00FE1625">
      <w:pPr>
        <w:numPr>
          <w:ilvl w:val="1"/>
          <w:numId w:val="1"/>
        </w:numPr>
        <w:jc w:val="both"/>
      </w:pPr>
      <w:r w:rsidRPr="001A3500">
        <w:t>Encourage the donor to</w:t>
      </w:r>
      <w:r w:rsidR="00C32080" w:rsidRPr="001A3500">
        <w:t xml:space="preserve"> return </w:t>
      </w:r>
      <w:r w:rsidRPr="001A3500">
        <w:t>at the end of the deferral period</w:t>
      </w:r>
      <w:r w:rsidR="00C32080" w:rsidRPr="001A3500">
        <w:t>. Providing the donor with the date that they can next donate can be useful in this regard</w:t>
      </w:r>
      <w:r w:rsidR="00AB5FD2">
        <w:t>.</w:t>
      </w:r>
      <w:bookmarkStart w:id="0" w:name="_GoBack"/>
      <w:bookmarkEnd w:id="0"/>
    </w:p>
    <w:p w:rsidR="00C32080" w:rsidRPr="001A3500" w:rsidRDefault="00DA58AD" w:rsidP="00FE1625">
      <w:pPr>
        <w:numPr>
          <w:ilvl w:val="1"/>
          <w:numId w:val="1"/>
        </w:numPr>
        <w:jc w:val="both"/>
      </w:pPr>
      <w:r w:rsidRPr="001A3500">
        <w:t>Record the deferral period on the donor</w:t>
      </w:r>
      <w:r w:rsidR="001A3500">
        <w:t>’</w:t>
      </w:r>
      <w:r w:rsidRPr="001A3500">
        <w:t>s Medical History Form.</w:t>
      </w:r>
    </w:p>
    <w:p w:rsidR="000505BD" w:rsidRPr="001A3500" w:rsidRDefault="000505BD" w:rsidP="0023294F">
      <w:pPr>
        <w:pStyle w:val="ListParagraph"/>
        <w:numPr>
          <w:ilvl w:val="0"/>
          <w:numId w:val="1"/>
        </w:numPr>
        <w:spacing w:before="120" w:after="120"/>
        <w:jc w:val="both"/>
        <w:rPr>
          <w:bCs/>
          <w:i/>
        </w:rPr>
      </w:pPr>
      <w:r w:rsidRPr="001A3500">
        <w:rPr>
          <w:b/>
          <w:bCs/>
        </w:rPr>
        <w:t>Records and forms</w:t>
      </w:r>
    </w:p>
    <w:p w:rsidR="00DA58AD" w:rsidRPr="001A3500" w:rsidRDefault="00DA58AD" w:rsidP="00DA58AD">
      <w:pPr>
        <w:pStyle w:val="ListParagraph"/>
        <w:numPr>
          <w:ilvl w:val="1"/>
          <w:numId w:val="1"/>
        </w:numPr>
        <w:shd w:val="clear" w:color="auto" w:fill="FFFFFF"/>
        <w:ind w:left="862" w:hanging="505"/>
        <w:contextualSpacing w:val="0"/>
        <w:jc w:val="both"/>
      </w:pPr>
      <w:r w:rsidRPr="001A3500">
        <w:t>The completion and retention of the records and forms mentioned in this procedure are detailed in SOPs that describe related procedures.</w:t>
      </w:r>
    </w:p>
    <w:p w:rsidR="00F23686" w:rsidRDefault="00F23686" w:rsidP="0023294F">
      <w:pPr>
        <w:numPr>
          <w:ilvl w:val="0"/>
          <w:numId w:val="1"/>
        </w:numPr>
        <w:spacing w:before="120" w:after="120"/>
        <w:ind w:left="357"/>
        <w:jc w:val="both"/>
        <w:rPr>
          <w:b/>
          <w:bCs/>
        </w:rPr>
      </w:pPr>
      <w:r>
        <w:rPr>
          <w:b/>
          <w:bCs/>
        </w:rPr>
        <w:t>References</w:t>
      </w:r>
    </w:p>
    <w:p w:rsidR="00F23686" w:rsidRDefault="00F23686" w:rsidP="00F23686">
      <w:pPr>
        <w:numPr>
          <w:ilvl w:val="1"/>
          <w:numId w:val="1"/>
        </w:numPr>
        <w:spacing w:before="120" w:after="120"/>
        <w:jc w:val="both"/>
        <w:rPr>
          <w:b/>
          <w:bCs/>
        </w:rPr>
      </w:pPr>
      <w:r>
        <w:rPr>
          <w:bCs/>
        </w:rPr>
        <w:t>Nil.</w:t>
      </w:r>
    </w:p>
    <w:p w:rsidR="000505BD" w:rsidRPr="001A3500" w:rsidRDefault="000505BD" w:rsidP="0023294F">
      <w:pPr>
        <w:numPr>
          <w:ilvl w:val="0"/>
          <w:numId w:val="1"/>
        </w:numPr>
        <w:spacing w:before="120" w:after="120"/>
        <w:ind w:left="357"/>
        <w:jc w:val="both"/>
        <w:rPr>
          <w:b/>
          <w:bCs/>
        </w:rPr>
      </w:pPr>
      <w:r w:rsidRPr="001A3500">
        <w:rPr>
          <w:b/>
          <w:bCs/>
        </w:rPr>
        <w:t>Revision Summary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3"/>
        <w:gridCol w:w="1540"/>
        <w:gridCol w:w="2819"/>
        <w:gridCol w:w="2470"/>
      </w:tblGrid>
      <w:tr w:rsidR="001A3500" w:rsidRPr="001A3500" w:rsidTr="00DA58AD">
        <w:tc>
          <w:tcPr>
            <w:tcW w:w="1403" w:type="dxa"/>
            <w:vAlign w:val="center"/>
          </w:tcPr>
          <w:p w:rsidR="00FF30DF" w:rsidRPr="001A3500" w:rsidRDefault="00FF30DF" w:rsidP="00E02CB6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1A3500">
              <w:rPr>
                <w:b/>
                <w:bCs/>
              </w:rPr>
              <w:t>REVISION NUMBER</w:t>
            </w:r>
          </w:p>
        </w:tc>
        <w:tc>
          <w:tcPr>
            <w:tcW w:w="1540" w:type="dxa"/>
            <w:vAlign w:val="center"/>
          </w:tcPr>
          <w:p w:rsidR="00FF30DF" w:rsidRPr="001A3500" w:rsidRDefault="00FF30DF" w:rsidP="00E02CB6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1A3500">
              <w:rPr>
                <w:b/>
                <w:bCs/>
              </w:rPr>
              <w:t>DATE</w:t>
            </w:r>
          </w:p>
        </w:tc>
        <w:tc>
          <w:tcPr>
            <w:tcW w:w="2819" w:type="dxa"/>
            <w:vAlign w:val="center"/>
          </w:tcPr>
          <w:p w:rsidR="00FF30DF" w:rsidRPr="001A3500" w:rsidRDefault="00FF30DF" w:rsidP="00E02CB6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1A3500">
              <w:rPr>
                <w:b/>
                <w:bCs/>
              </w:rPr>
              <w:t>REVISION DETAILS</w:t>
            </w:r>
          </w:p>
        </w:tc>
        <w:tc>
          <w:tcPr>
            <w:tcW w:w="2470" w:type="dxa"/>
            <w:vAlign w:val="center"/>
          </w:tcPr>
          <w:p w:rsidR="00FF30DF" w:rsidRPr="001A3500" w:rsidRDefault="00FF30DF" w:rsidP="00E02CB6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1A3500">
              <w:rPr>
                <w:b/>
                <w:bCs/>
              </w:rPr>
              <w:t>REASON FOR REVISION</w:t>
            </w:r>
          </w:p>
        </w:tc>
      </w:tr>
      <w:tr w:rsidR="001A3500" w:rsidRPr="001A3500" w:rsidTr="00DA58AD">
        <w:tc>
          <w:tcPr>
            <w:tcW w:w="1403" w:type="dxa"/>
            <w:vAlign w:val="center"/>
          </w:tcPr>
          <w:p w:rsidR="00FF30DF" w:rsidRPr="001A3500" w:rsidRDefault="00FF30DF" w:rsidP="00E02CB6">
            <w:pPr>
              <w:tabs>
                <w:tab w:val="left" w:pos="567"/>
              </w:tabs>
              <w:jc w:val="center"/>
              <w:rPr>
                <w:bCs/>
              </w:rPr>
            </w:pPr>
          </w:p>
        </w:tc>
        <w:tc>
          <w:tcPr>
            <w:tcW w:w="1540" w:type="dxa"/>
            <w:vAlign w:val="center"/>
          </w:tcPr>
          <w:p w:rsidR="00FF30DF" w:rsidRPr="001A3500" w:rsidRDefault="00FF30DF" w:rsidP="00E02CB6">
            <w:pPr>
              <w:tabs>
                <w:tab w:val="left" w:pos="567"/>
              </w:tabs>
              <w:jc w:val="center"/>
              <w:rPr>
                <w:bCs/>
              </w:rPr>
            </w:pPr>
          </w:p>
        </w:tc>
        <w:tc>
          <w:tcPr>
            <w:tcW w:w="2819" w:type="dxa"/>
            <w:vAlign w:val="center"/>
          </w:tcPr>
          <w:p w:rsidR="00FF30DF" w:rsidRPr="001A3500" w:rsidRDefault="00FF30DF" w:rsidP="00E02CB6">
            <w:pPr>
              <w:tabs>
                <w:tab w:val="left" w:pos="567"/>
              </w:tabs>
              <w:jc w:val="center"/>
              <w:rPr>
                <w:bCs/>
              </w:rPr>
            </w:pPr>
          </w:p>
        </w:tc>
        <w:tc>
          <w:tcPr>
            <w:tcW w:w="2470" w:type="dxa"/>
          </w:tcPr>
          <w:p w:rsidR="00FF30DF" w:rsidRPr="001A3500" w:rsidRDefault="00FF30DF" w:rsidP="00E02CB6">
            <w:pPr>
              <w:tabs>
                <w:tab w:val="left" w:pos="567"/>
              </w:tabs>
              <w:jc w:val="center"/>
              <w:rPr>
                <w:bCs/>
              </w:rPr>
            </w:pPr>
          </w:p>
        </w:tc>
      </w:tr>
    </w:tbl>
    <w:p w:rsidR="00FF30DF" w:rsidRPr="001A3500" w:rsidRDefault="00FF30DF" w:rsidP="00037968">
      <w:pPr>
        <w:spacing w:before="120" w:after="120"/>
        <w:ind w:left="357"/>
        <w:jc w:val="both"/>
      </w:pPr>
    </w:p>
    <w:sectPr w:rsidR="00FF30DF" w:rsidRPr="001A3500" w:rsidSect="001A3500">
      <w:headerReference w:type="default" r:id="rId9"/>
      <w:headerReference w:type="first" r:id="rId1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9F7" w:rsidRDefault="003979F7">
      <w:r>
        <w:separator/>
      </w:r>
    </w:p>
  </w:endnote>
  <w:endnote w:type="continuationSeparator" w:id="0">
    <w:p w:rsidR="003979F7" w:rsidRDefault="0039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9F7" w:rsidRDefault="003979F7">
      <w:r>
        <w:separator/>
      </w:r>
    </w:p>
  </w:footnote>
  <w:footnote w:type="continuationSeparator" w:id="0">
    <w:p w:rsidR="003979F7" w:rsidRDefault="00397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11" w:rsidRDefault="00822711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</w:pPr>
    <w:r>
      <w:t>D</w:t>
    </w:r>
    <w:r w:rsidR="008D6578">
      <w:t>ocument Number</w:t>
    </w:r>
    <w:r>
      <w:t>:</w:t>
    </w:r>
    <w:r w:rsidR="0022097C">
      <w:t xml:space="preserve"> </w:t>
    </w:r>
    <w:r w:rsidR="0022097C">
      <w:rPr>
        <w:rFonts w:asciiTheme="minorHAnsi" w:hAnsiTheme="minorHAnsi"/>
        <w:sz w:val="22"/>
      </w:rPr>
      <w:t>SOP-13-1</w:t>
    </w:r>
    <w:r>
      <w:tab/>
    </w:r>
    <w:r>
      <w:tab/>
      <w:t xml:space="preserve">Page </w:t>
    </w:r>
    <w:r w:rsidR="00F82E8C">
      <w:fldChar w:fldCharType="begin"/>
    </w:r>
    <w:r>
      <w:instrText xml:space="preserve"> PAGE </w:instrText>
    </w:r>
    <w:r w:rsidR="00F82E8C">
      <w:fldChar w:fldCharType="separate"/>
    </w:r>
    <w:r w:rsidR="00AB5FD2">
      <w:rPr>
        <w:noProof/>
      </w:rPr>
      <w:t>2</w:t>
    </w:r>
    <w:r w:rsidR="00F82E8C">
      <w:fldChar w:fldCharType="end"/>
    </w:r>
    <w:r>
      <w:t xml:space="preserve"> of </w:t>
    </w:r>
    <w:r w:rsidR="00F82E8C">
      <w:fldChar w:fldCharType="begin"/>
    </w:r>
    <w:r>
      <w:instrText xml:space="preserve"> NUMPAGES </w:instrText>
    </w:r>
    <w:r w:rsidR="00F82E8C">
      <w:fldChar w:fldCharType="separate"/>
    </w:r>
    <w:r w:rsidR="00AB5FD2">
      <w:rPr>
        <w:noProof/>
      </w:rPr>
      <w:t>2</w:t>
    </w:r>
    <w:r w:rsidR="00F82E8C">
      <w:fldChar w:fldCharType="end"/>
    </w:r>
  </w:p>
  <w:p w:rsidR="00822711" w:rsidRDefault="00822711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</w:pPr>
    <w:r>
      <w:t>Author             : Sign</w:t>
    </w:r>
  </w:p>
  <w:p w:rsidR="00822711" w:rsidRDefault="00822711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</w:pPr>
    <w:r>
      <w:t>Approved        : Sign</w:t>
    </w:r>
  </w:p>
  <w:p w:rsidR="00822711" w:rsidRDefault="00822711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11" w:rsidRPr="002328B2" w:rsidRDefault="00822711" w:rsidP="00303D35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rPr>
        <w:rFonts w:asciiTheme="minorHAnsi" w:hAnsiTheme="minorHAnsi"/>
        <w:sz w:val="22"/>
      </w:rPr>
    </w:pPr>
    <w:r w:rsidRPr="002328B2">
      <w:rPr>
        <w:rFonts w:asciiTheme="minorHAnsi" w:hAnsiTheme="minorHAnsi"/>
        <w:sz w:val="22"/>
      </w:rPr>
      <w:t xml:space="preserve">Document Number: </w:t>
    </w:r>
    <w:r w:rsidR="0022097C">
      <w:rPr>
        <w:rFonts w:asciiTheme="minorHAnsi" w:hAnsiTheme="minorHAnsi"/>
        <w:sz w:val="22"/>
      </w:rPr>
      <w:t>SOP-13-1</w:t>
    </w:r>
    <w:r w:rsidR="002328B2">
      <w:rPr>
        <w:rFonts w:asciiTheme="minorHAnsi" w:hAnsiTheme="minorHAnsi"/>
        <w:sz w:val="22"/>
      </w:rPr>
      <w:tab/>
    </w:r>
    <w:r w:rsidR="0022097C">
      <w:rPr>
        <w:rFonts w:asciiTheme="minorHAnsi" w:hAnsiTheme="minorHAnsi"/>
        <w:sz w:val="22"/>
      </w:rPr>
      <w:tab/>
    </w:r>
    <w:r w:rsidRPr="002328B2">
      <w:rPr>
        <w:rFonts w:asciiTheme="minorHAnsi" w:hAnsiTheme="minorHAnsi"/>
        <w:sz w:val="22"/>
      </w:rPr>
      <w:t xml:space="preserve">Page </w:t>
    </w:r>
    <w:r w:rsidR="00F82E8C" w:rsidRPr="002328B2">
      <w:rPr>
        <w:rFonts w:asciiTheme="minorHAnsi" w:hAnsiTheme="minorHAnsi"/>
        <w:sz w:val="22"/>
      </w:rPr>
      <w:fldChar w:fldCharType="begin"/>
    </w:r>
    <w:r w:rsidRPr="002328B2">
      <w:rPr>
        <w:rFonts w:asciiTheme="minorHAnsi" w:hAnsiTheme="minorHAnsi"/>
        <w:sz w:val="22"/>
      </w:rPr>
      <w:instrText xml:space="preserve"> PAGE </w:instrText>
    </w:r>
    <w:r w:rsidR="00F82E8C" w:rsidRPr="002328B2">
      <w:rPr>
        <w:rFonts w:asciiTheme="minorHAnsi" w:hAnsiTheme="minorHAnsi"/>
        <w:sz w:val="22"/>
      </w:rPr>
      <w:fldChar w:fldCharType="separate"/>
    </w:r>
    <w:r w:rsidR="00AB5FD2">
      <w:rPr>
        <w:rFonts w:asciiTheme="minorHAnsi" w:hAnsiTheme="minorHAnsi"/>
        <w:noProof/>
        <w:sz w:val="22"/>
      </w:rPr>
      <w:t>1</w:t>
    </w:r>
    <w:r w:rsidR="00F82E8C" w:rsidRPr="002328B2">
      <w:rPr>
        <w:rFonts w:asciiTheme="minorHAnsi" w:hAnsiTheme="minorHAnsi"/>
        <w:sz w:val="22"/>
      </w:rPr>
      <w:fldChar w:fldCharType="end"/>
    </w:r>
    <w:r w:rsidRPr="002328B2">
      <w:rPr>
        <w:rFonts w:asciiTheme="minorHAnsi" w:hAnsiTheme="minorHAnsi"/>
        <w:sz w:val="22"/>
      </w:rPr>
      <w:t xml:space="preserve"> of </w:t>
    </w:r>
    <w:r w:rsidR="00F82E8C" w:rsidRPr="002328B2">
      <w:rPr>
        <w:rFonts w:asciiTheme="minorHAnsi" w:hAnsiTheme="minorHAnsi"/>
        <w:sz w:val="22"/>
      </w:rPr>
      <w:fldChar w:fldCharType="begin"/>
    </w:r>
    <w:r w:rsidRPr="002328B2">
      <w:rPr>
        <w:rFonts w:asciiTheme="minorHAnsi" w:hAnsiTheme="minorHAnsi"/>
        <w:sz w:val="22"/>
      </w:rPr>
      <w:instrText xml:space="preserve"> NUMPAGES </w:instrText>
    </w:r>
    <w:r w:rsidR="00F82E8C" w:rsidRPr="002328B2">
      <w:rPr>
        <w:rFonts w:asciiTheme="minorHAnsi" w:hAnsiTheme="minorHAnsi"/>
        <w:sz w:val="22"/>
      </w:rPr>
      <w:fldChar w:fldCharType="separate"/>
    </w:r>
    <w:r w:rsidR="00AB5FD2">
      <w:rPr>
        <w:rFonts w:asciiTheme="minorHAnsi" w:hAnsiTheme="minorHAnsi"/>
        <w:noProof/>
        <w:sz w:val="22"/>
      </w:rPr>
      <w:t>2</w:t>
    </w:r>
    <w:r w:rsidR="00F82E8C" w:rsidRPr="002328B2">
      <w:rPr>
        <w:rFonts w:asciiTheme="minorHAnsi" w:hAnsiTheme="minorHAnsi"/>
        <w:sz w:val="22"/>
      </w:rPr>
      <w:fldChar w:fldCharType="end"/>
    </w:r>
  </w:p>
  <w:p w:rsidR="00822711" w:rsidRPr="002328B2" w:rsidRDefault="00822711" w:rsidP="00303D35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rPr>
        <w:rFonts w:asciiTheme="minorHAnsi" w:hAnsiTheme="minorHAnsi"/>
        <w:sz w:val="22"/>
      </w:rPr>
    </w:pPr>
    <w:r w:rsidRPr="002328B2">
      <w:rPr>
        <w:rFonts w:asciiTheme="minorHAnsi" w:hAnsiTheme="minorHAnsi"/>
        <w:sz w:val="22"/>
      </w:rPr>
      <w:t xml:space="preserve">Effective </w:t>
    </w:r>
    <w:proofErr w:type="spellStart"/>
    <w:r w:rsidRPr="002328B2">
      <w:rPr>
        <w:rFonts w:asciiTheme="minorHAnsi" w:hAnsiTheme="minorHAnsi"/>
        <w:sz w:val="22"/>
      </w:rPr>
      <w:t>Date</w:t>
    </w:r>
    <w:proofErr w:type="gramStart"/>
    <w:r w:rsidRPr="002328B2">
      <w:rPr>
        <w:rFonts w:asciiTheme="minorHAnsi" w:hAnsiTheme="minorHAnsi"/>
        <w:sz w:val="22"/>
      </w:rPr>
      <w:t>:</w:t>
    </w:r>
    <w:r w:rsidR="000505BD" w:rsidRPr="002328B2">
      <w:rPr>
        <w:rFonts w:asciiTheme="minorHAnsi" w:hAnsiTheme="minorHAnsi"/>
        <w:i/>
        <w:sz w:val="22"/>
      </w:rPr>
      <w:t>Enter</w:t>
    </w:r>
    <w:proofErr w:type="spellEnd"/>
    <w:proofErr w:type="gramEnd"/>
    <w:r w:rsidR="000505BD" w:rsidRPr="002328B2">
      <w:rPr>
        <w:rFonts w:asciiTheme="minorHAnsi" w:hAnsiTheme="minorHAnsi"/>
        <w:i/>
        <w:sz w:val="22"/>
      </w:rPr>
      <w:t xml:space="preserve"> the date on which the SOP is to become effective</w:t>
    </w:r>
    <w:r w:rsidR="008D6578">
      <w:rPr>
        <w:rFonts w:asciiTheme="minorHAnsi" w:hAnsiTheme="minorHAnsi"/>
        <w:i/>
        <w:sz w:val="22"/>
      </w:rPr>
      <w:t xml:space="preserve"> (allow time for training)</w:t>
    </w:r>
  </w:p>
  <w:p w:rsidR="00822711" w:rsidRPr="002328B2" w:rsidRDefault="00072A88" w:rsidP="00303D35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rPr>
        <w:rFonts w:asciiTheme="minorHAnsi" w:hAnsiTheme="minorHAnsi"/>
        <w:sz w:val="22"/>
      </w:rPr>
    </w:pPr>
    <w:r w:rsidRPr="002328B2">
      <w:rPr>
        <w:rFonts w:asciiTheme="minorHAnsi" w:hAnsiTheme="minorHAnsi"/>
        <w:sz w:val="22"/>
      </w:rPr>
      <w:t xml:space="preserve">Author            : </w:t>
    </w:r>
    <w:r w:rsidR="00500DFF" w:rsidRPr="002328B2">
      <w:rPr>
        <w:rFonts w:asciiTheme="minorHAnsi" w:hAnsiTheme="minorHAnsi"/>
        <w:i/>
        <w:sz w:val="22"/>
      </w:rPr>
      <w:t>Name</w:t>
    </w:r>
    <w:r w:rsidR="00822711" w:rsidRPr="002328B2">
      <w:rPr>
        <w:rFonts w:asciiTheme="minorHAnsi" w:hAnsiTheme="minorHAnsi"/>
        <w:sz w:val="22"/>
      </w:rPr>
      <w:tab/>
      <w:t>Sign</w:t>
    </w:r>
  </w:p>
  <w:p w:rsidR="00822711" w:rsidRPr="002328B2" w:rsidRDefault="00072A88" w:rsidP="008B3FE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Theme="minorHAnsi" w:hAnsiTheme="minorHAnsi"/>
        <w:sz w:val="22"/>
      </w:rPr>
    </w:pPr>
    <w:r w:rsidRPr="002328B2">
      <w:rPr>
        <w:rFonts w:asciiTheme="minorHAnsi" w:hAnsiTheme="minorHAnsi"/>
        <w:sz w:val="22"/>
      </w:rPr>
      <w:t xml:space="preserve">Approved       : </w:t>
    </w:r>
    <w:r w:rsidR="00500DFF" w:rsidRPr="002328B2">
      <w:rPr>
        <w:rFonts w:asciiTheme="minorHAnsi" w:hAnsiTheme="minorHAnsi"/>
        <w:i/>
        <w:sz w:val="22"/>
      </w:rPr>
      <w:t>Name</w:t>
    </w:r>
    <w:r w:rsidR="00822711" w:rsidRPr="002328B2">
      <w:rPr>
        <w:rFonts w:asciiTheme="minorHAnsi" w:hAnsiTheme="minorHAnsi"/>
        <w:sz w:val="22"/>
      </w:rPr>
      <w:tab/>
      <w:t>Sign</w:t>
    </w:r>
    <w:r w:rsidR="00822711" w:rsidRPr="002328B2">
      <w:rPr>
        <w:rFonts w:asciiTheme="minorHAnsi" w:hAnsiTheme="minorHAnsi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47DC"/>
    <w:multiLevelType w:val="multilevel"/>
    <w:tmpl w:val="6A28F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50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62E10CA"/>
    <w:multiLevelType w:val="hybridMultilevel"/>
    <w:tmpl w:val="F8B6FF74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F14059"/>
    <w:multiLevelType w:val="multilevel"/>
    <w:tmpl w:val="BBE24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CC3175D"/>
    <w:multiLevelType w:val="multilevel"/>
    <w:tmpl w:val="E4481B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84D0126"/>
    <w:multiLevelType w:val="multilevel"/>
    <w:tmpl w:val="A73E8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60D50BB1"/>
    <w:multiLevelType w:val="multilevel"/>
    <w:tmpl w:val="12CC9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869"/>
    <w:rsid w:val="00003C28"/>
    <w:rsid w:val="000229AF"/>
    <w:rsid w:val="000364DA"/>
    <w:rsid w:val="00037434"/>
    <w:rsid w:val="00037968"/>
    <w:rsid w:val="0004020B"/>
    <w:rsid w:val="0004343E"/>
    <w:rsid w:val="00043C1B"/>
    <w:rsid w:val="000505BD"/>
    <w:rsid w:val="00055C19"/>
    <w:rsid w:val="00072A88"/>
    <w:rsid w:val="00086E1C"/>
    <w:rsid w:val="000B3AE5"/>
    <w:rsid w:val="000E3CAD"/>
    <w:rsid w:val="000E4CBD"/>
    <w:rsid w:val="000F04C2"/>
    <w:rsid w:val="000F73C2"/>
    <w:rsid w:val="001663EC"/>
    <w:rsid w:val="001679B1"/>
    <w:rsid w:val="0017115E"/>
    <w:rsid w:val="001A2B74"/>
    <w:rsid w:val="001A3500"/>
    <w:rsid w:val="001A4ECD"/>
    <w:rsid w:val="001B6D91"/>
    <w:rsid w:val="001B7C47"/>
    <w:rsid w:val="001C260F"/>
    <w:rsid w:val="001C57EF"/>
    <w:rsid w:val="001F5578"/>
    <w:rsid w:val="00202A82"/>
    <w:rsid w:val="00220000"/>
    <w:rsid w:val="0022097C"/>
    <w:rsid w:val="00220FE6"/>
    <w:rsid w:val="0023268B"/>
    <w:rsid w:val="002328B2"/>
    <w:rsid w:val="0023294F"/>
    <w:rsid w:val="002405B2"/>
    <w:rsid w:val="00250945"/>
    <w:rsid w:val="002538BA"/>
    <w:rsid w:val="002615D5"/>
    <w:rsid w:val="00262ACB"/>
    <w:rsid w:val="0026571A"/>
    <w:rsid w:val="00271007"/>
    <w:rsid w:val="002743D0"/>
    <w:rsid w:val="002E067F"/>
    <w:rsid w:val="002F25BA"/>
    <w:rsid w:val="002F6637"/>
    <w:rsid w:val="00303D35"/>
    <w:rsid w:val="003160C3"/>
    <w:rsid w:val="00330D46"/>
    <w:rsid w:val="0034254F"/>
    <w:rsid w:val="0036168B"/>
    <w:rsid w:val="003858CD"/>
    <w:rsid w:val="00395A6D"/>
    <w:rsid w:val="003979F7"/>
    <w:rsid w:val="003A21F4"/>
    <w:rsid w:val="003A7EC0"/>
    <w:rsid w:val="003B2E48"/>
    <w:rsid w:val="003B5090"/>
    <w:rsid w:val="003C46D1"/>
    <w:rsid w:val="003E29DF"/>
    <w:rsid w:val="003E6C32"/>
    <w:rsid w:val="003F1A38"/>
    <w:rsid w:val="003F7D8E"/>
    <w:rsid w:val="004022FE"/>
    <w:rsid w:val="00461F06"/>
    <w:rsid w:val="004837C7"/>
    <w:rsid w:val="004861CD"/>
    <w:rsid w:val="00496320"/>
    <w:rsid w:val="004E29ED"/>
    <w:rsid w:val="00500DFF"/>
    <w:rsid w:val="00503495"/>
    <w:rsid w:val="005205CA"/>
    <w:rsid w:val="00591BD8"/>
    <w:rsid w:val="00595E8A"/>
    <w:rsid w:val="00601545"/>
    <w:rsid w:val="00611BBA"/>
    <w:rsid w:val="00612E0A"/>
    <w:rsid w:val="00634475"/>
    <w:rsid w:val="006A5D36"/>
    <w:rsid w:val="006B051B"/>
    <w:rsid w:val="006C509C"/>
    <w:rsid w:val="006D5314"/>
    <w:rsid w:val="006E6E45"/>
    <w:rsid w:val="006E791A"/>
    <w:rsid w:val="006F2FBD"/>
    <w:rsid w:val="006F2FBF"/>
    <w:rsid w:val="006F7DF9"/>
    <w:rsid w:val="00713D13"/>
    <w:rsid w:val="00731D1A"/>
    <w:rsid w:val="00733E3A"/>
    <w:rsid w:val="00787562"/>
    <w:rsid w:val="007B6EBA"/>
    <w:rsid w:val="007E013D"/>
    <w:rsid w:val="008105E8"/>
    <w:rsid w:val="00822711"/>
    <w:rsid w:val="0083187A"/>
    <w:rsid w:val="0084289A"/>
    <w:rsid w:val="0084754E"/>
    <w:rsid w:val="00850B5B"/>
    <w:rsid w:val="008542CD"/>
    <w:rsid w:val="00864A8C"/>
    <w:rsid w:val="008675F5"/>
    <w:rsid w:val="00870F67"/>
    <w:rsid w:val="00872D84"/>
    <w:rsid w:val="00872F42"/>
    <w:rsid w:val="008871B4"/>
    <w:rsid w:val="008937E7"/>
    <w:rsid w:val="008B3FEF"/>
    <w:rsid w:val="008C48A7"/>
    <w:rsid w:val="008C55D7"/>
    <w:rsid w:val="008D6578"/>
    <w:rsid w:val="008D74AE"/>
    <w:rsid w:val="008E7B1F"/>
    <w:rsid w:val="008F525B"/>
    <w:rsid w:val="009244F8"/>
    <w:rsid w:val="00925C66"/>
    <w:rsid w:val="009274D0"/>
    <w:rsid w:val="009311E8"/>
    <w:rsid w:val="0095107A"/>
    <w:rsid w:val="0095619C"/>
    <w:rsid w:val="00957F3B"/>
    <w:rsid w:val="0096326A"/>
    <w:rsid w:val="009A4CEC"/>
    <w:rsid w:val="009A7FB9"/>
    <w:rsid w:val="009C60BC"/>
    <w:rsid w:val="00A00F42"/>
    <w:rsid w:val="00A06670"/>
    <w:rsid w:val="00A1154F"/>
    <w:rsid w:val="00A35FF7"/>
    <w:rsid w:val="00A63CAE"/>
    <w:rsid w:val="00A7570E"/>
    <w:rsid w:val="00AB5FD2"/>
    <w:rsid w:val="00AC0322"/>
    <w:rsid w:val="00AE1869"/>
    <w:rsid w:val="00AE1C89"/>
    <w:rsid w:val="00AE53DD"/>
    <w:rsid w:val="00AF5171"/>
    <w:rsid w:val="00B07047"/>
    <w:rsid w:val="00B07DBF"/>
    <w:rsid w:val="00B2282E"/>
    <w:rsid w:val="00B234FA"/>
    <w:rsid w:val="00B240E3"/>
    <w:rsid w:val="00B26881"/>
    <w:rsid w:val="00B4331D"/>
    <w:rsid w:val="00B75CAB"/>
    <w:rsid w:val="00B87ABD"/>
    <w:rsid w:val="00B93DDB"/>
    <w:rsid w:val="00BA3CEA"/>
    <w:rsid w:val="00BA4EFD"/>
    <w:rsid w:val="00BB4537"/>
    <w:rsid w:val="00BB6BCF"/>
    <w:rsid w:val="00BD60CA"/>
    <w:rsid w:val="00BD7C10"/>
    <w:rsid w:val="00BF312D"/>
    <w:rsid w:val="00C00029"/>
    <w:rsid w:val="00C07B85"/>
    <w:rsid w:val="00C32080"/>
    <w:rsid w:val="00C45E0C"/>
    <w:rsid w:val="00C57438"/>
    <w:rsid w:val="00CB7436"/>
    <w:rsid w:val="00CC3804"/>
    <w:rsid w:val="00CE0A3A"/>
    <w:rsid w:val="00D0074C"/>
    <w:rsid w:val="00D34A8C"/>
    <w:rsid w:val="00D371BB"/>
    <w:rsid w:val="00D42B80"/>
    <w:rsid w:val="00D42D7D"/>
    <w:rsid w:val="00D448BD"/>
    <w:rsid w:val="00D519E6"/>
    <w:rsid w:val="00D5472B"/>
    <w:rsid w:val="00D8372F"/>
    <w:rsid w:val="00DA0661"/>
    <w:rsid w:val="00DA58AD"/>
    <w:rsid w:val="00DA6219"/>
    <w:rsid w:val="00DD6CEF"/>
    <w:rsid w:val="00DE277A"/>
    <w:rsid w:val="00E13A7F"/>
    <w:rsid w:val="00E24487"/>
    <w:rsid w:val="00E42028"/>
    <w:rsid w:val="00E4501F"/>
    <w:rsid w:val="00E9125A"/>
    <w:rsid w:val="00E947A9"/>
    <w:rsid w:val="00EA0624"/>
    <w:rsid w:val="00EA140F"/>
    <w:rsid w:val="00EB790C"/>
    <w:rsid w:val="00EE1373"/>
    <w:rsid w:val="00EF6345"/>
    <w:rsid w:val="00F053D2"/>
    <w:rsid w:val="00F11471"/>
    <w:rsid w:val="00F231BF"/>
    <w:rsid w:val="00F23686"/>
    <w:rsid w:val="00F32D6C"/>
    <w:rsid w:val="00F42720"/>
    <w:rsid w:val="00F44C1D"/>
    <w:rsid w:val="00F82E8C"/>
    <w:rsid w:val="00F910C4"/>
    <w:rsid w:val="00FA6FDD"/>
    <w:rsid w:val="00FA7E27"/>
    <w:rsid w:val="00FB20F2"/>
    <w:rsid w:val="00FE1625"/>
    <w:rsid w:val="00FF30DF"/>
    <w:rsid w:val="00FF3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E8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82E8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2E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2E8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91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1B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5D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34F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Default">
    <w:name w:val="Default"/>
    <w:rsid w:val="001A35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91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1B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5D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34F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tscomputer\My%20Documents\Quality\Templates\Standard%20Operating%20Proced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ED51-C3F3-4126-95A0-27C9FD36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Operating Procedure</Template>
  <TotalTime>86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BLOOD TRANSFUSION SERVICE OF NAMIBIA</vt:lpstr>
    </vt:vector>
  </TitlesOfParts>
  <Company>Private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BLOOD TRANSFUSION SERVICE OF NAMIBIA</dc:title>
  <dc:creator>bts</dc:creator>
  <cp:lastModifiedBy>Rob</cp:lastModifiedBy>
  <cp:revision>12</cp:revision>
  <cp:lastPrinted>2012-03-02T08:13:00Z</cp:lastPrinted>
  <dcterms:created xsi:type="dcterms:W3CDTF">2014-10-02T07:24:00Z</dcterms:created>
  <dcterms:modified xsi:type="dcterms:W3CDTF">2014-12-10T05:21:00Z</dcterms:modified>
</cp:coreProperties>
</file>