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30391F" w:rsidRDefault="000F73C2">
      <w:pPr>
        <w:pStyle w:val="Heading1"/>
      </w:pPr>
    </w:p>
    <w:p w:rsidR="006F7DF9" w:rsidRDefault="001026DF">
      <w:pPr>
        <w:jc w:val="center"/>
        <w:rPr>
          <w:b/>
          <w:bCs/>
          <w:lang w:val="fr-FR"/>
        </w:rPr>
      </w:pPr>
      <w:r>
        <w:rPr>
          <w:b/>
          <w:bCs/>
          <w:lang w:val="fr-FR"/>
        </w:rPr>
        <w:t>MODE OPERATOIRE</w:t>
      </w:r>
    </w:p>
    <w:p w:rsidR="00A00128" w:rsidRPr="0030391F" w:rsidRDefault="00A00128">
      <w:pPr>
        <w:jc w:val="center"/>
        <w:rPr>
          <w:b/>
          <w:bCs/>
          <w:lang w:val="fr-FR"/>
        </w:rPr>
      </w:pPr>
    </w:p>
    <w:p w:rsidR="00DA6ABF" w:rsidRPr="001824BE" w:rsidRDefault="00CE7366" w:rsidP="00A00128">
      <w:pPr>
        <w:jc w:val="center"/>
        <w:rPr>
          <w:b/>
          <w:lang w:val="fr-FR"/>
        </w:rPr>
      </w:pPr>
      <w:r w:rsidRPr="001824BE">
        <w:rPr>
          <w:b/>
          <w:lang w:val="fr-FR"/>
        </w:rPr>
        <w:t xml:space="preserve">Directives </w:t>
      </w:r>
      <w:r w:rsidR="00DA6ABF" w:rsidRPr="001824BE">
        <w:rPr>
          <w:b/>
          <w:lang w:val="fr-FR"/>
        </w:rPr>
        <w:t>pour l</w:t>
      </w:r>
      <w:r w:rsidR="00A00128" w:rsidRPr="001824BE">
        <w:rPr>
          <w:b/>
          <w:lang w:val="fr-FR"/>
        </w:rPr>
        <w:t>a qualification</w:t>
      </w:r>
      <w:r w:rsidR="00DA6ABF" w:rsidRPr="001824BE">
        <w:rPr>
          <w:b/>
          <w:lang w:val="fr-FR"/>
        </w:rPr>
        <w:t xml:space="preserve"> et l'exclusion des donneurs de sang</w:t>
      </w:r>
    </w:p>
    <w:p w:rsidR="00DA6ABF" w:rsidRPr="0030391F" w:rsidRDefault="00DA6ABF" w:rsidP="00DA6ABF">
      <w:pPr>
        <w:jc w:val="both"/>
        <w:rPr>
          <w:lang w:val="fr-FR"/>
        </w:rPr>
      </w:pPr>
    </w:p>
    <w:p w:rsidR="00B4331D" w:rsidRPr="001026DF" w:rsidRDefault="00037968" w:rsidP="00877D4E">
      <w:pPr>
        <w:pBdr>
          <w:top w:val="single" w:sz="4" w:space="1" w:color="auto"/>
          <w:left w:val="single" w:sz="4" w:space="4" w:color="auto"/>
          <w:bottom w:val="single" w:sz="4" w:space="1" w:color="auto"/>
          <w:right w:val="single" w:sz="4" w:space="4" w:color="auto"/>
        </w:pBdr>
        <w:spacing w:before="240" w:after="240"/>
        <w:jc w:val="center"/>
        <w:rPr>
          <w:b/>
          <w:lang w:val="fr-FR"/>
        </w:rPr>
      </w:pPr>
      <w:r w:rsidRPr="001026DF">
        <w:rPr>
          <w:b/>
          <w:lang w:val="fr-FR"/>
        </w:rPr>
        <w:t>Note</w:t>
      </w:r>
      <w:r w:rsidR="002607A5" w:rsidRPr="001026DF">
        <w:rPr>
          <w:b/>
          <w:lang w:val="fr-FR"/>
        </w:rPr>
        <w:t>s</w:t>
      </w:r>
    </w:p>
    <w:p w:rsidR="00AE6B6B" w:rsidRPr="0030391F" w:rsidRDefault="00AE6B6B" w:rsidP="00AE6B6B">
      <w:pPr>
        <w:pBdr>
          <w:top w:val="single" w:sz="4" w:space="1" w:color="auto"/>
          <w:left w:val="single" w:sz="4" w:space="4" w:color="auto"/>
          <w:bottom w:val="single" w:sz="4" w:space="1" w:color="auto"/>
          <w:right w:val="single" w:sz="4" w:space="4" w:color="auto"/>
        </w:pBdr>
        <w:jc w:val="both"/>
        <w:rPr>
          <w:lang w:val="fr-FR"/>
        </w:rPr>
      </w:pPr>
      <w:r w:rsidRPr="0030391F">
        <w:rPr>
          <w:lang w:val="fr-FR"/>
        </w:rPr>
        <w:t>Directives pour l'acceptation des donneurs de sang peuvent varier de ceux décrits dans cette procédure s’il y a des directives nationales couvrant les périodes d’exclusion.</w:t>
      </w:r>
    </w:p>
    <w:p w:rsidR="00AE6B6B" w:rsidRPr="0030391F" w:rsidRDefault="00AE6B6B" w:rsidP="00AE6B6B">
      <w:pPr>
        <w:pBdr>
          <w:top w:val="single" w:sz="4" w:space="1" w:color="auto"/>
          <w:left w:val="single" w:sz="4" w:space="4" w:color="auto"/>
          <w:bottom w:val="single" w:sz="4" w:space="1" w:color="auto"/>
          <w:right w:val="single" w:sz="4" w:space="4" w:color="auto"/>
        </w:pBdr>
        <w:jc w:val="both"/>
        <w:rPr>
          <w:lang w:val="fr-FR"/>
        </w:rPr>
      </w:pPr>
    </w:p>
    <w:p w:rsidR="00AE6B6B" w:rsidRPr="0030391F" w:rsidRDefault="00AE6B6B" w:rsidP="00AE6B6B">
      <w:pPr>
        <w:pBdr>
          <w:top w:val="single" w:sz="4" w:space="1" w:color="auto"/>
          <w:left w:val="single" w:sz="4" w:space="4" w:color="auto"/>
          <w:bottom w:val="single" w:sz="4" w:space="1" w:color="auto"/>
          <w:right w:val="single" w:sz="4" w:space="4" w:color="auto"/>
        </w:pBdr>
        <w:jc w:val="both"/>
        <w:rPr>
          <w:lang w:val="fr-FR"/>
        </w:rPr>
      </w:pPr>
      <w:r w:rsidRPr="0030391F">
        <w:rPr>
          <w:lang w:val="fr-FR"/>
        </w:rPr>
        <w:t>Cette procédure doit être adaptée pour se conformer aux exigences locales et aux systèmes de test, les réactifs et les équipements qui sont disponibles pour chaque organisation</w:t>
      </w:r>
    </w:p>
    <w:p w:rsidR="006F7DF9" w:rsidRPr="0030391F" w:rsidRDefault="006F7DF9" w:rsidP="000505BD">
      <w:pPr>
        <w:numPr>
          <w:ilvl w:val="0"/>
          <w:numId w:val="1"/>
        </w:numPr>
        <w:spacing w:before="120" w:after="120"/>
        <w:ind w:left="357"/>
        <w:jc w:val="both"/>
        <w:rPr>
          <w:b/>
          <w:bCs/>
        </w:rPr>
      </w:pPr>
      <w:r w:rsidRPr="0030391F">
        <w:rPr>
          <w:b/>
          <w:bCs/>
        </w:rPr>
        <w:t>Introduction</w:t>
      </w:r>
    </w:p>
    <w:p w:rsidR="00270C50" w:rsidRPr="0030391F" w:rsidRDefault="00DA6ABF" w:rsidP="002607A5">
      <w:pPr>
        <w:ind w:left="360"/>
        <w:jc w:val="both"/>
        <w:rPr>
          <w:lang w:val="fr-FR"/>
        </w:rPr>
      </w:pPr>
      <w:r w:rsidRPr="0030391F">
        <w:rPr>
          <w:lang w:val="fr-FR"/>
        </w:rPr>
        <w:t>L</w:t>
      </w:r>
      <w:r w:rsidR="008E5394" w:rsidRPr="0030391F">
        <w:rPr>
          <w:lang w:val="fr-FR"/>
        </w:rPr>
        <w:t xml:space="preserve">e </w:t>
      </w:r>
      <w:r w:rsidR="00270C50" w:rsidRPr="0030391F">
        <w:rPr>
          <w:lang w:val="fr-FR"/>
        </w:rPr>
        <w:t>standard</w:t>
      </w:r>
      <w:r w:rsidR="008E5394" w:rsidRPr="0030391F">
        <w:rPr>
          <w:lang w:val="fr-FR"/>
        </w:rPr>
        <w:t xml:space="preserve"> d’accréditation par étapes de la</w:t>
      </w:r>
      <w:r w:rsidR="00AF2AF9">
        <w:rPr>
          <w:lang w:val="fr-FR"/>
        </w:rPr>
        <w:t xml:space="preserve"> Société Africaine</w:t>
      </w:r>
      <w:r w:rsidRPr="0030391F">
        <w:rPr>
          <w:lang w:val="fr-FR"/>
        </w:rPr>
        <w:t xml:space="preserve"> de Transfusion Sanguine exige que chaque </w:t>
      </w:r>
      <w:r w:rsidR="00270C50" w:rsidRPr="0030391F">
        <w:rPr>
          <w:lang w:val="fr-FR"/>
        </w:rPr>
        <w:t>organisation développe</w:t>
      </w:r>
      <w:r w:rsidRPr="0030391F">
        <w:rPr>
          <w:lang w:val="fr-FR"/>
        </w:rPr>
        <w:t xml:space="preserve"> </w:t>
      </w:r>
      <w:r w:rsidR="00C304C4">
        <w:rPr>
          <w:lang w:val="fr-FR"/>
        </w:rPr>
        <w:t xml:space="preserve">les </w:t>
      </w:r>
      <w:r w:rsidRPr="0030391F">
        <w:rPr>
          <w:lang w:val="fr-FR"/>
        </w:rPr>
        <w:t>critères de sélection</w:t>
      </w:r>
      <w:r w:rsidR="00270C50" w:rsidRPr="0030391F">
        <w:rPr>
          <w:lang w:val="fr-FR"/>
        </w:rPr>
        <w:t xml:space="preserve"> des donneurs</w:t>
      </w:r>
      <w:r w:rsidRPr="0030391F">
        <w:rPr>
          <w:lang w:val="fr-FR"/>
        </w:rPr>
        <w:t xml:space="preserve"> qui sont fondées sur les </w:t>
      </w:r>
      <w:r w:rsidR="00270C50" w:rsidRPr="0030391F">
        <w:rPr>
          <w:lang w:val="fr-FR"/>
        </w:rPr>
        <w:t>standards</w:t>
      </w:r>
      <w:r w:rsidRPr="0030391F">
        <w:rPr>
          <w:lang w:val="fr-FR"/>
        </w:rPr>
        <w:t>, les lois et ré</w:t>
      </w:r>
      <w:r w:rsidR="00270C50" w:rsidRPr="0030391F">
        <w:rPr>
          <w:lang w:val="fr-FR"/>
        </w:rPr>
        <w:t>glementations nationales, si possible</w:t>
      </w:r>
      <w:r w:rsidRPr="0030391F">
        <w:rPr>
          <w:lang w:val="fr-FR"/>
        </w:rPr>
        <w:t xml:space="preserve">, et les données épidémiologiques locales des maladies infectieuses, les comportements à risque et les coutumes locales qui peuvent avoir un effet sur la sécurité du donneur ou du receveur. La sélection des donneurs doit inclure un entretien avec le donateur pour déterminer leur </w:t>
      </w:r>
      <w:r w:rsidR="00270C50" w:rsidRPr="0030391F">
        <w:rPr>
          <w:lang w:val="fr-FR"/>
        </w:rPr>
        <w:t>acceptabilité</w:t>
      </w:r>
      <w:r w:rsidRPr="0030391F">
        <w:rPr>
          <w:lang w:val="fr-FR"/>
        </w:rPr>
        <w:t xml:space="preserve"> au don. </w:t>
      </w:r>
    </w:p>
    <w:p w:rsidR="00C304C4" w:rsidRDefault="00C304C4" w:rsidP="00B20813">
      <w:pPr>
        <w:ind w:left="360"/>
        <w:jc w:val="both"/>
        <w:rPr>
          <w:lang w:val="fr-FR"/>
        </w:rPr>
      </w:pPr>
    </w:p>
    <w:p w:rsidR="00B20813" w:rsidRPr="0030391F" w:rsidRDefault="00DA6ABF" w:rsidP="00B20813">
      <w:pPr>
        <w:ind w:left="360"/>
        <w:jc w:val="both"/>
        <w:rPr>
          <w:lang w:val="fr-FR"/>
        </w:rPr>
      </w:pPr>
      <w:r w:rsidRPr="0030391F">
        <w:rPr>
          <w:lang w:val="fr-FR"/>
        </w:rPr>
        <w:t xml:space="preserve">La sélection des donneurs est une partie importante d'assurer un approvisionnement en sang sûr, et le processus doit être mené avec soin, même dans une clinique de donneurs de sang </w:t>
      </w:r>
      <w:r w:rsidR="00270C50" w:rsidRPr="0030391F">
        <w:rPr>
          <w:lang w:val="fr-FR"/>
        </w:rPr>
        <w:t>surchargé</w:t>
      </w:r>
      <w:r w:rsidRPr="0030391F">
        <w:rPr>
          <w:lang w:val="fr-FR"/>
        </w:rPr>
        <w:t xml:space="preserve">. La procédure ne doit pas être </w:t>
      </w:r>
      <w:r w:rsidR="00117B19" w:rsidRPr="0030391F">
        <w:rPr>
          <w:lang w:val="fr-FR"/>
        </w:rPr>
        <w:t>faite à la hâte</w:t>
      </w:r>
      <w:r w:rsidRPr="0030391F">
        <w:rPr>
          <w:lang w:val="fr-FR"/>
        </w:rPr>
        <w:t xml:space="preserve"> </w:t>
      </w:r>
      <w:r w:rsidR="00B20813" w:rsidRPr="0030391F">
        <w:rPr>
          <w:lang w:val="fr-FR"/>
        </w:rPr>
        <w:t>car</w:t>
      </w:r>
      <w:r w:rsidRPr="0030391F">
        <w:rPr>
          <w:lang w:val="fr-FR"/>
        </w:rPr>
        <w:t xml:space="preserve"> les erreurs commises pendant le processus de séle</w:t>
      </w:r>
      <w:r w:rsidR="00B20813" w:rsidRPr="0030391F">
        <w:rPr>
          <w:lang w:val="fr-FR"/>
        </w:rPr>
        <w:t>ction peuvent</w:t>
      </w:r>
      <w:r w:rsidRPr="0030391F">
        <w:rPr>
          <w:lang w:val="fr-FR"/>
        </w:rPr>
        <w:t xml:space="preserve"> rester inaperçus et peuvent affecter la sécurité du sang collecté</w:t>
      </w:r>
      <w:r w:rsidR="00B20813" w:rsidRPr="0030391F">
        <w:rPr>
          <w:lang w:val="fr-FR"/>
        </w:rPr>
        <w:t xml:space="preserve">. </w:t>
      </w:r>
    </w:p>
    <w:p w:rsidR="00E43EC1" w:rsidRPr="0030391F" w:rsidRDefault="00E43EC1" w:rsidP="00DA6ABF">
      <w:pPr>
        <w:spacing w:before="120" w:after="120"/>
        <w:ind w:left="357"/>
        <w:jc w:val="both"/>
        <w:rPr>
          <w:b/>
          <w:bCs/>
          <w:lang w:val="fr-FR"/>
        </w:rPr>
      </w:pPr>
    </w:p>
    <w:p w:rsidR="00DA6ABF" w:rsidRPr="0030391F" w:rsidRDefault="00DA6ABF" w:rsidP="00DA6ABF">
      <w:pPr>
        <w:spacing w:before="120" w:after="120"/>
        <w:ind w:left="357"/>
        <w:jc w:val="both"/>
        <w:rPr>
          <w:b/>
          <w:bCs/>
          <w:lang w:val="fr-FR"/>
        </w:rPr>
      </w:pPr>
      <w:r w:rsidRPr="0030391F">
        <w:rPr>
          <w:b/>
          <w:bCs/>
          <w:lang w:val="fr-FR"/>
        </w:rPr>
        <w:t>Objectif et applicabilité</w:t>
      </w:r>
    </w:p>
    <w:p w:rsidR="00CF23C3" w:rsidRPr="0030391F" w:rsidRDefault="00CF23C3" w:rsidP="002615D5">
      <w:pPr>
        <w:ind w:left="360"/>
        <w:jc w:val="both"/>
        <w:rPr>
          <w:lang w:val="fr-FR"/>
        </w:rPr>
      </w:pPr>
      <w:r w:rsidRPr="0030391F">
        <w:rPr>
          <w:lang w:val="fr-FR"/>
        </w:rPr>
        <w:t xml:space="preserve">Cette procédure doit être utilisée par le personnel autorisé dans la collecte de sang lors de l'examen des antécédents médicaux d'un donneur potentiel afin de déterminer sa / son </w:t>
      </w:r>
      <w:r w:rsidR="00E43EC1" w:rsidRPr="0030391F">
        <w:rPr>
          <w:lang w:val="fr-FR"/>
        </w:rPr>
        <w:t>acceptabilité</w:t>
      </w:r>
      <w:r w:rsidRPr="0030391F">
        <w:rPr>
          <w:lang w:val="fr-FR"/>
        </w:rPr>
        <w:t xml:space="preserve"> au don de sang à ce moment</w:t>
      </w:r>
      <w:r w:rsidR="00E43EC1" w:rsidRPr="0030391F">
        <w:rPr>
          <w:lang w:val="fr-FR"/>
        </w:rPr>
        <w:t>.</w:t>
      </w:r>
    </w:p>
    <w:p w:rsidR="00CF23C3" w:rsidRPr="00153B66" w:rsidRDefault="00CF23C3" w:rsidP="00042C5F">
      <w:pPr>
        <w:pStyle w:val="ListParagraph"/>
        <w:numPr>
          <w:ilvl w:val="0"/>
          <w:numId w:val="1"/>
        </w:numPr>
        <w:spacing w:before="120" w:after="120"/>
        <w:jc w:val="both"/>
        <w:rPr>
          <w:b/>
          <w:bCs/>
          <w:lang w:val="fr-FR"/>
        </w:rPr>
      </w:pPr>
      <w:r w:rsidRPr="00153B66">
        <w:rPr>
          <w:b/>
          <w:bCs/>
          <w:lang w:val="fr-FR"/>
        </w:rPr>
        <w:t>Sigles et définitions</w:t>
      </w:r>
    </w:p>
    <w:p w:rsidR="00E9125A" w:rsidRPr="00153B66" w:rsidRDefault="0076521B" w:rsidP="00E9125A">
      <w:pPr>
        <w:spacing w:before="120" w:after="120"/>
        <w:ind w:left="357"/>
        <w:jc w:val="both"/>
        <w:rPr>
          <w:bCs/>
          <w:lang w:val="fr-FR"/>
        </w:rPr>
      </w:pPr>
      <w:r w:rsidRPr="00153B66">
        <w:rPr>
          <w:bCs/>
          <w:lang w:val="fr-FR"/>
        </w:rPr>
        <w:t>Null</w:t>
      </w:r>
    </w:p>
    <w:p w:rsidR="00CF23C3" w:rsidRPr="00153B66" w:rsidRDefault="00042C5F" w:rsidP="00042C5F">
      <w:pPr>
        <w:pStyle w:val="ListParagraph"/>
        <w:numPr>
          <w:ilvl w:val="0"/>
          <w:numId w:val="1"/>
        </w:numPr>
        <w:spacing w:before="120" w:after="120"/>
        <w:jc w:val="both"/>
        <w:rPr>
          <w:b/>
          <w:bCs/>
          <w:lang w:val="fr-FR"/>
        </w:rPr>
      </w:pPr>
      <w:r w:rsidRPr="00153B66">
        <w:rPr>
          <w:b/>
          <w:bCs/>
          <w:lang w:val="fr-FR"/>
        </w:rPr>
        <w:t xml:space="preserve">Matériels et </w:t>
      </w:r>
      <w:r w:rsidR="00CF23C3" w:rsidRPr="00153B66">
        <w:rPr>
          <w:b/>
          <w:bCs/>
          <w:lang w:val="fr-FR"/>
        </w:rPr>
        <w:t>équipement requis</w:t>
      </w:r>
    </w:p>
    <w:p w:rsidR="00042C5F" w:rsidRPr="00153B66" w:rsidRDefault="00042C5F" w:rsidP="00042C5F">
      <w:pPr>
        <w:pStyle w:val="ListParagraph"/>
        <w:spacing w:before="120" w:after="120"/>
        <w:ind w:left="360"/>
        <w:jc w:val="both"/>
        <w:rPr>
          <w:b/>
          <w:bCs/>
          <w:lang w:val="fr-FR"/>
        </w:rPr>
      </w:pPr>
    </w:p>
    <w:p w:rsidR="00042C5F" w:rsidRPr="00153B66" w:rsidRDefault="00042C5F" w:rsidP="00042C5F">
      <w:pPr>
        <w:pStyle w:val="ListParagraph"/>
        <w:numPr>
          <w:ilvl w:val="1"/>
          <w:numId w:val="1"/>
        </w:numPr>
        <w:spacing w:before="120" w:after="120"/>
        <w:jc w:val="both"/>
        <w:rPr>
          <w:bCs/>
          <w:lang w:val="fr-FR"/>
        </w:rPr>
      </w:pPr>
      <w:r w:rsidRPr="00153B66">
        <w:rPr>
          <w:bCs/>
          <w:lang w:val="fr-FR"/>
        </w:rPr>
        <w:t xml:space="preserve">Le </w:t>
      </w:r>
      <w:r w:rsidR="00117B19" w:rsidRPr="00153B66">
        <w:rPr>
          <w:bCs/>
          <w:lang w:val="fr-FR"/>
        </w:rPr>
        <w:t>questionnaire</w:t>
      </w:r>
      <w:r w:rsidRPr="00153B66">
        <w:rPr>
          <w:bCs/>
          <w:lang w:val="fr-FR"/>
        </w:rPr>
        <w:t xml:space="preserve"> médical d’un donneur </w:t>
      </w:r>
    </w:p>
    <w:p w:rsidR="00521B0D" w:rsidRPr="00153B66" w:rsidRDefault="00521B0D" w:rsidP="00CF23C3">
      <w:pPr>
        <w:pStyle w:val="ListParagraph"/>
        <w:spacing w:before="120" w:after="120"/>
        <w:ind w:left="360"/>
        <w:jc w:val="both"/>
        <w:rPr>
          <w:bCs/>
          <w:i/>
          <w:lang w:val="fr-FR"/>
        </w:rPr>
      </w:pPr>
    </w:p>
    <w:p w:rsidR="00CF23C3" w:rsidRPr="00153B66" w:rsidRDefault="00CF23C3" w:rsidP="00460BB6">
      <w:pPr>
        <w:spacing w:before="120" w:after="120"/>
        <w:ind w:left="357"/>
        <w:jc w:val="both"/>
        <w:rPr>
          <w:bCs/>
          <w:i/>
          <w:lang w:val="fr-FR"/>
        </w:rPr>
      </w:pPr>
      <w:r w:rsidRPr="00153B66">
        <w:rPr>
          <w:b/>
          <w:bCs/>
          <w:lang w:val="fr-FR"/>
        </w:rPr>
        <w:t>Sécurité</w:t>
      </w:r>
    </w:p>
    <w:p w:rsidR="0049415F" w:rsidRPr="00153B66" w:rsidRDefault="0049415F" w:rsidP="005D6BA1">
      <w:pPr>
        <w:ind w:left="360"/>
        <w:jc w:val="both"/>
        <w:rPr>
          <w:bCs/>
          <w:lang w:val="fr-FR"/>
        </w:rPr>
      </w:pPr>
      <w:r w:rsidRPr="00153B66">
        <w:rPr>
          <w:bCs/>
          <w:lang w:val="fr-FR"/>
        </w:rPr>
        <w:t>Il n'y a pas d'importantes préoccupations de sécurité associées à cette procédure</w:t>
      </w:r>
    </w:p>
    <w:p w:rsidR="00460BB6" w:rsidRPr="00153B66" w:rsidRDefault="00153B66" w:rsidP="00460BB6">
      <w:pPr>
        <w:numPr>
          <w:ilvl w:val="0"/>
          <w:numId w:val="1"/>
        </w:numPr>
        <w:spacing w:before="120" w:after="120"/>
        <w:ind w:left="357"/>
        <w:jc w:val="both"/>
        <w:rPr>
          <w:bCs/>
          <w:i/>
          <w:lang w:val="fr-FR"/>
        </w:rPr>
      </w:pPr>
      <w:r>
        <w:rPr>
          <w:b/>
          <w:bCs/>
          <w:lang w:val="fr-FR"/>
        </w:rPr>
        <w:t>Responsa</w:t>
      </w:r>
      <w:r w:rsidR="00460BB6" w:rsidRPr="00153B66">
        <w:rPr>
          <w:b/>
          <w:bCs/>
          <w:lang w:val="fr-FR"/>
        </w:rPr>
        <w:t>ble</w:t>
      </w:r>
    </w:p>
    <w:p w:rsidR="0049415F" w:rsidRDefault="0049415F" w:rsidP="005D6BA1">
      <w:pPr>
        <w:ind w:left="360"/>
        <w:jc w:val="both"/>
        <w:rPr>
          <w:bCs/>
          <w:lang w:val="fr-FR"/>
        </w:rPr>
      </w:pPr>
      <w:r w:rsidRPr="0030391F">
        <w:rPr>
          <w:bCs/>
          <w:lang w:val="fr-FR"/>
        </w:rPr>
        <w:lastRenderedPageBreak/>
        <w:t>Le personnel autorisé dans la clinique de donneurs de sang qui sont affectés à la sélection des donneurs sont responsables de toutes les activités décrites dans cette procédure</w:t>
      </w:r>
    </w:p>
    <w:p w:rsidR="00460BB6" w:rsidRPr="0030391F" w:rsidRDefault="00460BB6" w:rsidP="005D6BA1">
      <w:pPr>
        <w:ind w:left="360"/>
        <w:jc w:val="both"/>
        <w:rPr>
          <w:bCs/>
          <w:lang w:val="fr-FR"/>
        </w:rPr>
      </w:pPr>
    </w:p>
    <w:p w:rsidR="000505BD" w:rsidRPr="0030391F" w:rsidRDefault="000505BD" w:rsidP="000505BD">
      <w:pPr>
        <w:numPr>
          <w:ilvl w:val="0"/>
          <w:numId w:val="1"/>
        </w:numPr>
        <w:spacing w:before="120" w:after="120"/>
        <w:ind w:left="357"/>
        <w:jc w:val="both"/>
        <w:rPr>
          <w:b/>
          <w:bCs/>
        </w:rPr>
      </w:pPr>
      <w:r w:rsidRPr="0030391F">
        <w:rPr>
          <w:b/>
          <w:bCs/>
        </w:rPr>
        <w:t>Procedure</w:t>
      </w:r>
    </w:p>
    <w:p w:rsidR="00A733EF" w:rsidRPr="0030391F" w:rsidRDefault="00A733EF" w:rsidP="007F49B7">
      <w:pPr>
        <w:pStyle w:val="ListParagraph"/>
        <w:numPr>
          <w:ilvl w:val="1"/>
          <w:numId w:val="1"/>
        </w:numPr>
        <w:spacing w:before="120" w:after="120"/>
        <w:jc w:val="both"/>
        <w:rPr>
          <w:bCs/>
          <w:lang w:val="fr-FR"/>
        </w:rPr>
      </w:pPr>
      <w:r w:rsidRPr="0030391F">
        <w:rPr>
          <w:bCs/>
          <w:lang w:val="fr-FR"/>
        </w:rPr>
        <w:t xml:space="preserve">Confirmer l'identité de la personne </w:t>
      </w:r>
      <w:r w:rsidR="000264C3" w:rsidRPr="0030391F">
        <w:rPr>
          <w:bCs/>
          <w:lang w:val="fr-FR"/>
        </w:rPr>
        <w:t xml:space="preserve">à laquelle vous examinez l’historique médicale </w:t>
      </w:r>
      <w:r w:rsidRPr="0030391F">
        <w:rPr>
          <w:bCs/>
          <w:lang w:val="fr-FR"/>
        </w:rPr>
        <w:t xml:space="preserve">en lui demandant de vous </w:t>
      </w:r>
      <w:r w:rsidR="000264C3" w:rsidRPr="0030391F">
        <w:rPr>
          <w:bCs/>
          <w:lang w:val="fr-FR"/>
        </w:rPr>
        <w:t xml:space="preserve">dire </w:t>
      </w:r>
      <w:r w:rsidRPr="0030391F">
        <w:rPr>
          <w:bCs/>
          <w:lang w:val="fr-FR"/>
        </w:rPr>
        <w:t xml:space="preserve">son nom et la date de naissance et de comparer </w:t>
      </w:r>
      <w:r w:rsidR="000264C3" w:rsidRPr="0030391F">
        <w:rPr>
          <w:bCs/>
          <w:lang w:val="fr-FR"/>
        </w:rPr>
        <w:t>ceux-là</w:t>
      </w:r>
      <w:r w:rsidRPr="0030391F">
        <w:rPr>
          <w:bCs/>
          <w:lang w:val="fr-FR"/>
        </w:rPr>
        <w:t xml:space="preserve"> avec les détails enregistrés sur </w:t>
      </w:r>
      <w:r w:rsidR="000264C3" w:rsidRPr="0030391F">
        <w:rPr>
          <w:bCs/>
          <w:lang w:val="fr-FR"/>
        </w:rPr>
        <w:t>le</w:t>
      </w:r>
      <w:r w:rsidRPr="0030391F">
        <w:rPr>
          <w:bCs/>
          <w:lang w:val="fr-FR"/>
        </w:rPr>
        <w:t xml:space="preserve"> </w:t>
      </w:r>
      <w:r w:rsidR="00117B19" w:rsidRPr="0030391F">
        <w:rPr>
          <w:bCs/>
          <w:lang w:val="fr-FR"/>
        </w:rPr>
        <w:t>questionnaire</w:t>
      </w:r>
      <w:r w:rsidRPr="0030391F">
        <w:rPr>
          <w:bCs/>
          <w:lang w:val="fr-FR"/>
        </w:rPr>
        <w:t xml:space="preserve"> médical. T</w:t>
      </w:r>
      <w:r w:rsidR="00187636" w:rsidRPr="0030391F">
        <w:rPr>
          <w:bCs/>
          <w:lang w:val="fr-FR"/>
        </w:rPr>
        <w:t xml:space="preserve">oute discordance </w:t>
      </w:r>
      <w:r w:rsidRPr="0030391F">
        <w:rPr>
          <w:bCs/>
          <w:lang w:val="fr-FR"/>
        </w:rPr>
        <w:t>doit être résolu</w:t>
      </w:r>
      <w:r w:rsidR="00187636" w:rsidRPr="0030391F">
        <w:rPr>
          <w:bCs/>
          <w:lang w:val="fr-FR"/>
        </w:rPr>
        <w:t>e</w:t>
      </w:r>
      <w:r w:rsidRPr="0030391F">
        <w:rPr>
          <w:bCs/>
          <w:lang w:val="fr-FR"/>
        </w:rPr>
        <w:t xml:space="preserve"> avant de poursuivre</w:t>
      </w:r>
    </w:p>
    <w:p w:rsidR="000C2972" w:rsidRPr="0030391F" w:rsidRDefault="000C2972" w:rsidP="000C2972">
      <w:pPr>
        <w:pStyle w:val="ListParagraph"/>
        <w:spacing w:before="120" w:after="120"/>
        <w:ind w:left="864"/>
        <w:jc w:val="both"/>
        <w:rPr>
          <w:bCs/>
          <w:lang w:val="fr-FR"/>
        </w:rPr>
      </w:pPr>
    </w:p>
    <w:p w:rsidR="005D6BA1" w:rsidRPr="0030391F" w:rsidRDefault="001A1CDA" w:rsidP="000C2972">
      <w:pPr>
        <w:pStyle w:val="ListParagraph"/>
        <w:numPr>
          <w:ilvl w:val="1"/>
          <w:numId w:val="1"/>
        </w:numPr>
        <w:spacing w:before="120" w:after="120"/>
        <w:jc w:val="both"/>
        <w:rPr>
          <w:bCs/>
        </w:rPr>
      </w:pPr>
      <w:r w:rsidRPr="0030391F">
        <w:rPr>
          <w:bCs/>
        </w:rPr>
        <w:t>Vérifiez les points suivants</w:t>
      </w:r>
      <w:r w:rsidR="00C250F3" w:rsidRPr="0030391F">
        <w:rPr>
          <w:bCs/>
        </w:rPr>
        <w:t>:</w:t>
      </w:r>
    </w:p>
    <w:p w:rsidR="00C250F3" w:rsidRPr="0030391F" w:rsidRDefault="00C250F3" w:rsidP="00C250F3">
      <w:pPr>
        <w:pStyle w:val="ListParagraph"/>
        <w:rPr>
          <w:bCs/>
        </w:rPr>
      </w:pPr>
    </w:p>
    <w:p w:rsidR="00C250F3" w:rsidRPr="0030391F" w:rsidRDefault="00C250F3" w:rsidP="00C250F3">
      <w:pPr>
        <w:pStyle w:val="ListParagraph"/>
        <w:spacing w:before="120" w:after="120"/>
        <w:ind w:left="864"/>
        <w:jc w:val="both"/>
        <w:rPr>
          <w:bCs/>
        </w:rPr>
      </w:pPr>
    </w:p>
    <w:p w:rsidR="001A1CDA" w:rsidRPr="0030391F" w:rsidRDefault="00460BB6" w:rsidP="00C250F3">
      <w:pPr>
        <w:pStyle w:val="ListParagraph"/>
        <w:numPr>
          <w:ilvl w:val="2"/>
          <w:numId w:val="1"/>
        </w:numPr>
        <w:spacing w:before="120" w:after="120"/>
        <w:jc w:val="both"/>
        <w:rPr>
          <w:bCs/>
          <w:lang w:val="fr-FR"/>
        </w:rPr>
      </w:pPr>
      <w:r w:rsidRPr="00460BB6">
        <w:rPr>
          <w:b/>
          <w:bCs/>
          <w:lang w:val="fr-FR"/>
        </w:rPr>
        <w:t>A</w:t>
      </w:r>
      <w:r w:rsidR="001A1CDA" w:rsidRPr="00460BB6">
        <w:rPr>
          <w:b/>
          <w:bCs/>
          <w:lang w:val="fr-FR"/>
        </w:rPr>
        <w:t>ge</w:t>
      </w:r>
      <w:r w:rsidR="001A1CDA" w:rsidRPr="0030391F">
        <w:rPr>
          <w:bCs/>
          <w:lang w:val="fr-FR"/>
        </w:rPr>
        <w:t xml:space="preserve">: Les </w:t>
      </w:r>
      <w:r w:rsidR="00C250F3" w:rsidRPr="0030391F">
        <w:rPr>
          <w:bCs/>
          <w:lang w:val="fr-FR"/>
        </w:rPr>
        <w:t>donneurs</w:t>
      </w:r>
      <w:r w:rsidR="001A1CDA" w:rsidRPr="0030391F">
        <w:rPr>
          <w:bCs/>
          <w:lang w:val="fr-FR"/>
        </w:rPr>
        <w:t xml:space="preserve"> de </w:t>
      </w:r>
      <w:r w:rsidR="00C250F3" w:rsidRPr="0030391F">
        <w:rPr>
          <w:bCs/>
          <w:lang w:val="fr-FR"/>
        </w:rPr>
        <w:t>sang</w:t>
      </w:r>
      <w:r w:rsidR="001A1CDA" w:rsidRPr="0030391F">
        <w:rPr>
          <w:bCs/>
          <w:lang w:val="fr-FR"/>
        </w:rPr>
        <w:t xml:space="preserve"> doivent être âgés de 16 (dire qu'il</w:t>
      </w:r>
      <w:r w:rsidR="00C250F3" w:rsidRPr="0030391F">
        <w:rPr>
          <w:bCs/>
          <w:lang w:val="fr-FR"/>
        </w:rPr>
        <w:t>s doivent avoir atteint leur 16</w:t>
      </w:r>
      <w:r w:rsidR="00C250F3" w:rsidRPr="0030391F">
        <w:rPr>
          <w:bCs/>
          <w:vertAlign w:val="superscript"/>
          <w:lang w:val="fr-FR"/>
        </w:rPr>
        <w:t>e</w:t>
      </w:r>
      <w:r w:rsidR="00C250F3" w:rsidRPr="0030391F">
        <w:rPr>
          <w:bCs/>
          <w:lang w:val="fr-FR"/>
        </w:rPr>
        <w:t xml:space="preserve"> </w:t>
      </w:r>
      <w:r w:rsidR="001A1CDA" w:rsidRPr="0030391F">
        <w:rPr>
          <w:bCs/>
          <w:lang w:val="fr-FR"/>
        </w:rPr>
        <w:t>anniversaire) et 65 (-dire qu'ils ne doi</w:t>
      </w:r>
      <w:r w:rsidR="00C250F3" w:rsidRPr="0030391F">
        <w:rPr>
          <w:bCs/>
          <w:lang w:val="fr-FR"/>
        </w:rPr>
        <w:t>vent pas encore atteint leur 66</w:t>
      </w:r>
      <w:r w:rsidR="00C250F3" w:rsidRPr="0030391F">
        <w:rPr>
          <w:bCs/>
          <w:vertAlign w:val="superscript"/>
          <w:lang w:val="fr-FR"/>
        </w:rPr>
        <w:t>e</w:t>
      </w:r>
      <w:r w:rsidR="001A1CDA" w:rsidRPr="0030391F">
        <w:rPr>
          <w:bCs/>
          <w:lang w:val="fr-FR"/>
        </w:rPr>
        <w:t xml:space="preserve"> ont anniversaire).</w:t>
      </w:r>
    </w:p>
    <w:p w:rsidR="00C325DB" w:rsidRPr="0030391F" w:rsidRDefault="00C325DB" w:rsidP="00C325DB">
      <w:pPr>
        <w:pStyle w:val="ListParagraph"/>
        <w:spacing w:before="120" w:after="120"/>
        <w:ind w:left="1418"/>
        <w:jc w:val="both"/>
        <w:rPr>
          <w:bCs/>
          <w:lang w:val="fr-FR"/>
        </w:rPr>
      </w:pPr>
    </w:p>
    <w:p w:rsidR="00CF795C" w:rsidRPr="0030391F" w:rsidRDefault="001A1CDA" w:rsidP="00CF795C">
      <w:pPr>
        <w:pStyle w:val="ListParagraph"/>
        <w:numPr>
          <w:ilvl w:val="2"/>
          <w:numId w:val="1"/>
        </w:numPr>
        <w:spacing w:before="120" w:after="120"/>
        <w:jc w:val="both"/>
        <w:rPr>
          <w:bCs/>
          <w:lang w:val="fr-FR"/>
        </w:rPr>
      </w:pPr>
      <w:r w:rsidRPr="00460BB6">
        <w:rPr>
          <w:b/>
          <w:bCs/>
          <w:lang w:val="fr-FR"/>
        </w:rPr>
        <w:t>Poids</w:t>
      </w:r>
      <w:r w:rsidRPr="0030391F">
        <w:rPr>
          <w:bCs/>
          <w:lang w:val="fr-FR"/>
        </w:rPr>
        <w:t xml:space="preserve">: Les </w:t>
      </w:r>
      <w:r w:rsidR="00C325DB" w:rsidRPr="0030391F">
        <w:rPr>
          <w:bCs/>
          <w:lang w:val="fr-FR"/>
        </w:rPr>
        <w:t>donneurs</w:t>
      </w:r>
      <w:r w:rsidRPr="0030391F">
        <w:rPr>
          <w:bCs/>
          <w:lang w:val="fr-FR"/>
        </w:rPr>
        <w:t xml:space="preserve"> doivent peser plus de 50 kg. Perte de poids inexpliquée de plus de 10%</w:t>
      </w:r>
      <w:r w:rsidR="00C325DB" w:rsidRPr="0030391F">
        <w:rPr>
          <w:bCs/>
          <w:lang w:val="fr-FR"/>
        </w:rPr>
        <w:t xml:space="preserve"> du poids corporel du donneur au cours </w:t>
      </w:r>
      <w:r w:rsidRPr="0030391F">
        <w:rPr>
          <w:bCs/>
          <w:lang w:val="fr-FR"/>
        </w:rPr>
        <w:t>d'une période de huit</w:t>
      </w:r>
      <w:r w:rsidR="00C325DB" w:rsidRPr="0030391F">
        <w:rPr>
          <w:bCs/>
          <w:lang w:val="fr-FR"/>
        </w:rPr>
        <w:t xml:space="preserve"> semaines est un motif d’exclusion.</w:t>
      </w:r>
    </w:p>
    <w:p w:rsidR="00CF795C" w:rsidRPr="0030391F" w:rsidRDefault="00CF795C" w:rsidP="00CF795C">
      <w:pPr>
        <w:pStyle w:val="ListParagraph"/>
        <w:rPr>
          <w:bCs/>
          <w:lang w:val="fr-FR"/>
        </w:rPr>
      </w:pPr>
    </w:p>
    <w:p w:rsidR="00CF795C" w:rsidRPr="00460BB6" w:rsidRDefault="001A1CDA" w:rsidP="001A1CDA">
      <w:pPr>
        <w:pStyle w:val="ListParagraph"/>
        <w:numPr>
          <w:ilvl w:val="2"/>
          <w:numId w:val="1"/>
        </w:numPr>
        <w:spacing w:before="120" w:after="120"/>
        <w:jc w:val="both"/>
        <w:rPr>
          <w:b/>
          <w:bCs/>
          <w:lang w:val="fr-FR"/>
        </w:rPr>
      </w:pPr>
      <w:r w:rsidRPr="00460BB6">
        <w:rPr>
          <w:b/>
          <w:bCs/>
          <w:lang w:val="fr-FR"/>
        </w:rPr>
        <w:t>Intervalle de don:</w:t>
      </w:r>
    </w:p>
    <w:p w:rsidR="00CF795C" w:rsidRPr="0030391F" w:rsidRDefault="00CF795C" w:rsidP="00CF795C">
      <w:pPr>
        <w:pStyle w:val="ListParagraph"/>
        <w:rPr>
          <w:bCs/>
          <w:lang w:val="fr-FR"/>
        </w:rPr>
      </w:pPr>
    </w:p>
    <w:p w:rsidR="00CF795C" w:rsidRPr="0030391F" w:rsidRDefault="001A1CDA" w:rsidP="00CF795C">
      <w:pPr>
        <w:pStyle w:val="ListParagraph"/>
        <w:numPr>
          <w:ilvl w:val="3"/>
          <w:numId w:val="1"/>
        </w:numPr>
        <w:spacing w:before="120" w:after="120"/>
        <w:jc w:val="both"/>
        <w:rPr>
          <w:bCs/>
          <w:lang w:val="fr-FR"/>
        </w:rPr>
      </w:pPr>
      <w:r w:rsidRPr="0030391F">
        <w:rPr>
          <w:bCs/>
          <w:lang w:val="fr-FR"/>
        </w:rPr>
        <w:t>Pour don de sang total</w:t>
      </w:r>
      <w:r w:rsidR="001654F3" w:rsidRPr="0030391F">
        <w:rPr>
          <w:bCs/>
          <w:lang w:val="fr-FR"/>
        </w:rPr>
        <w:t>, un minimum de 56 jours doit avoir</w:t>
      </w:r>
      <w:r w:rsidRPr="0030391F">
        <w:rPr>
          <w:bCs/>
          <w:lang w:val="fr-FR"/>
        </w:rPr>
        <w:t xml:space="preserve"> écoulée depuis le dernier don.</w:t>
      </w:r>
    </w:p>
    <w:p w:rsidR="001A1CDA" w:rsidRPr="0030391F" w:rsidRDefault="001A1CDA" w:rsidP="00CF795C">
      <w:pPr>
        <w:pStyle w:val="ListParagraph"/>
        <w:numPr>
          <w:ilvl w:val="3"/>
          <w:numId w:val="1"/>
        </w:numPr>
        <w:spacing w:before="120" w:after="120"/>
        <w:jc w:val="both"/>
        <w:rPr>
          <w:bCs/>
          <w:lang w:val="fr-FR"/>
        </w:rPr>
      </w:pPr>
      <w:r w:rsidRPr="0030391F">
        <w:rPr>
          <w:bCs/>
          <w:lang w:val="fr-FR"/>
        </w:rPr>
        <w:t>Pour les dons d'aphérèse</w:t>
      </w:r>
      <w:r w:rsidR="001654F3" w:rsidRPr="0030391F">
        <w:rPr>
          <w:bCs/>
          <w:lang w:val="fr-FR"/>
        </w:rPr>
        <w:t>, un minimum de 48 heures doit avoir</w:t>
      </w:r>
      <w:r w:rsidRPr="0030391F">
        <w:rPr>
          <w:bCs/>
          <w:lang w:val="fr-FR"/>
        </w:rPr>
        <w:t xml:space="preserve"> écoulée depuis le dernier don, et un maximum de 24 procédures peuvent être </w:t>
      </w:r>
      <w:proofErr w:type="gramStart"/>
      <w:r w:rsidRPr="0030391F">
        <w:rPr>
          <w:bCs/>
          <w:lang w:val="fr-FR"/>
        </w:rPr>
        <w:t>effectuées</w:t>
      </w:r>
      <w:proofErr w:type="gramEnd"/>
      <w:r w:rsidRPr="0030391F">
        <w:rPr>
          <w:bCs/>
          <w:lang w:val="fr-FR"/>
        </w:rPr>
        <w:t xml:space="preserve"> dans une période de 12 mois.</w:t>
      </w:r>
    </w:p>
    <w:p w:rsidR="00CF795C" w:rsidRPr="0030391F" w:rsidRDefault="00CF795C" w:rsidP="00CF795C">
      <w:pPr>
        <w:pStyle w:val="ListParagraph"/>
        <w:spacing w:before="120" w:after="120"/>
        <w:ind w:left="2350"/>
        <w:jc w:val="both"/>
        <w:rPr>
          <w:bCs/>
          <w:lang w:val="fr-FR"/>
        </w:rPr>
      </w:pPr>
    </w:p>
    <w:p w:rsidR="001A1CDA" w:rsidRPr="0030391F" w:rsidRDefault="001654F3" w:rsidP="00CF795C">
      <w:pPr>
        <w:pStyle w:val="ListParagraph"/>
        <w:numPr>
          <w:ilvl w:val="2"/>
          <w:numId w:val="1"/>
        </w:numPr>
        <w:spacing w:before="120" w:after="120"/>
        <w:jc w:val="both"/>
        <w:rPr>
          <w:bCs/>
          <w:lang w:val="fr-FR"/>
        </w:rPr>
      </w:pPr>
      <w:r w:rsidRPr="00460BB6">
        <w:rPr>
          <w:b/>
          <w:bCs/>
          <w:lang w:val="fr-FR"/>
        </w:rPr>
        <w:t>La pression artérielle</w:t>
      </w:r>
      <w:r w:rsidRPr="0030391F">
        <w:rPr>
          <w:bCs/>
          <w:lang w:val="fr-FR"/>
        </w:rPr>
        <w:t>: L</w:t>
      </w:r>
      <w:r w:rsidR="001A1CDA" w:rsidRPr="0030391F">
        <w:rPr>
          <w:bCs/>
          <w:lang w:val="fr-FR"/>
        </w:rPr>
        <w:t xml:space="preserve">a pression artérielle </w:t>
      </w:r>
      <w:r w:rsidRPr="0030391F">
        <w:rPr>
          <w:bCs/>
          <w:lang w:val="fr-FR"/>
        </w:rPr>
        <w:t xml:space="preserve">de donneur de sang </w:t>
      </w:r>
      <w:r w:rsidR="001A1CDA" w:rsidRPr="0030391F">
        <w:rPr>
          <w:bCs/>
          <w:lang w:val="fr-FR"/>
        </w:rPr>
        <w:t xml:space="preserve">ne doit pas être supérieure à 180/100 </w:t>
      </w:r>
      <w:proofErr w:type="spellStart"/>
      <w:r w:rsidR="001A1CDA" w:rsidRPr="0030391F">
        <w:rPr>
          <w:bCs/>
          <w:lang w:val="fr-FR"/>
        </w:rPr>
        <w:t>mmHg</w:t>
      </w:r>
      <w:proofErr w:type="spellEnd"/>
      <w:r w:rsidR="001A1CDA" w:rsidRPr="0030391F">
        <w:rPr>
          <w:bCs/>
          <w:lang w:val="fr-FR"/>
        </w:rPr>
        <w:t xml:space="preserve"> et non inférieure à 100/60 </w:t>
      </w:r>
      <w:proofErr w:type="spellStart"/>
      <w:r w:rsidR="001A1CDA" w:rsidRPr="0030391F">
        <w:rPr>
          <w:bCs/>
          <w:lang w:val="fr-FR"/>
        </w:rPr>
        <w:t>mmHg</w:t>
      </w:r>
      <w:proofErr w:type="spellEnd"/>
      <w:r w:rsidR="001A1CDA" w:rsidRPr="0030391F">
        <w:rPr>
          <w:bCs/>
          <w:lang w:val="fr-FR"/>
        </w:rPr>
        <w:t>.</w:t>
      </w:r>
    </w:p>
    <w:p w:rsidR="00CF795C" w:rsidRPr="0030391F" w:rsidRDefault="00CF795C" w:rsidP="00CF795C">
      <w:pPr>
        <w:pStyle w:val="ListParagraph"/>
        <w:spacing w:before="120" w:after="120"/>
        <w:ind w:left="1418"/>
        <w:jc w:val="both"/>
        <w:rPr>
          <w:bCs/>
          <w:lang w:val="fr-FR"/>
        </w:rPr>
      </w:pPr>
    </w:p>
    <w:p w:rsidR="00CF795C" w:rsidRPr="0030391F" w:rsidRDefault="001A1CDA" w:rsidP="00CF795C">
      <w:pPr>
        <w:pStyle w:val="ListParagraph"/>
        <w:numPr>
          <w:ilvl w:val="2"/>
          <w:numId w:val="1"/>
        </w:numPr>
        <w:jc w:val="both"/>
        <w:rPr>
          <w:bCs/>
          <w:lang w:val="fr-FR"/>
        </w:rPr>
      </w:pPr>
      <w:r w:rsidRPr="00460BB6">
        <w:rPr>
          <w:b/>
          <w:bCs/>
          <w:lang w:val="fr-FR"/>
        </w:rPr>
        <w:t>Pouls</w:t>
      </w:r>
      <w:r w:rsidRPr="0030391F">
        <w:rPr>
          <w:bCs/>
          <w:lang w:val="fr-FR"/>
        </w:rPr>
        <w:t>: la fréquence du pouls du donneur ne doit pas être inférieure à 60 battements par minute ou supérieur à 100 battements par minute.</w:t>
      </w:r>
    </w:p>
    <w:p w:rsidR="00CF795C" w:rsidRPr="0030391F" w:rsidRDefault="00CF795C" w:rsidP="00CF795C">
      <w:pPr>
        <w:pStyle w:val="ListParagraph"/>
        <w:ind w:left="1418"/>
        <w:jc w:val="both"/>
        <w:rPr>
          <w:bCs/>
          <w:lang w:val="fr-FR"/>
        </w:rPr>
      </w:pPr>
    </w:p>
    <w:p w:rsidR="001A1CDA" w:rsidRPr="0030391F" w:rsidRDefault="001A1CDA" w:rsidP="00243660">
      <w:pPr>
        <w:pStyle w:val="ListParagraph"/>
        <w:numPr>
          <w:ilvl w:val="2"/>
          <w:numId w:val="1"/>
        </w:numPr>
        <w:jc w:val="both"/>
        <w:rPr>
          <w:bCs/>
          <w:lang w:val="fr-FR"/>
        </w:rPr>
      </w:pPr>
      <w:r w:rsidRPr="00460BB6">
        <w:rPr>
          <w:b/>
          <w:bCs/>
          <w:lang w:val="fr-FR"/>
        </w:rPr>
        <w:t>Hémoglobine</w:t>
      </w:r>
      <w:r w:rsidRPr="0030391F">
        <w:rPr>
          <w:bCs/>
          <w:lang w:val="fr-FR"/>
        </w:rPr>
        <w:t>: l'hémoglobine du donneur ne doit pas être inférieur à 125 g / L.</w:t>
      </w:r>
    </w:p>
    <w:p w:rsidR="00243660" w:rsidRPr="0030391F" w:rsidRDefault="00243660" w:rsidP="00243660">
      <w:pPr>
        <w:pStyle w:val="ListParagraph"/>
        <w:rPr>
          <w:bCs/>
          <w:lang w:val="fr-FR"/>
        </w:rPr>
      </w:pPr>
    </w:p>
    <w:p w:rsidR="00273596" w:rsidRPr="0030391F" w:rsidRDefault="00D1028D" w:rsidP="00273596">
      <w:pPr>
        <w:pStyle w:val="ListParagraph"/>
        <w:numPr>
          <w:ilvl w:val="2"/>
          <w:numId w:val="1"/>
        </w:numPr>
        <w:jc w:val="both"/>
        <w:rPr>
          <w:bCs/>
          <w:lang w:val="fr-FR"/>
        </w:rPr>
      </w:pPr>
      <w:r w:rsidRPr="00460BB6">
        <w:rPr>
          <w:b/>
          <w:bCs/>
          <w:lang w:val="fr-FR"/>
        </w:rPr>
        <w:t>Médications</w:t>
      </w:r>
      <w:r w:rsidR="001A1CDA" w:rsidRPr="0030391F">
        <w:rPr>
          <w:bCs/>
          <w:lang w:val="fr-FR"/>
        </w:rPr>
        <w:t xml:space="preserve">: </w:t>
      </w:r>
      <w:r w:rsidRPr="0030391F">
        <w:rPr>
          <w:bCs/>
          <w:lang w:val="fr-FR"/>
        </w:rPr>
        <w:t xml:space="preserve">Le </w:t>
      </w:r>
      <w:r w:rsidR="001A1CDA" w:rsidRPr="0030391F">
        <w:rPr>
          <w:bCs/>
          <w:lang w:val="fr-FR"/>
        </w:rPr>
        <w:t xml:space="preserve">sang provenant de donneurs qui ont </w:t>
      </w:r>
      <w:r w:rsidRPr="0030391F">
        <w:rPr>
          <w:bCs/>
          <w:lang w:val="fr-FR"/>
        </w:rPr>
        <w:t>pris</w:t>
      </w:r>
      <w:r w:rsidR="001A1CDA" w:rsidRPr="0030391F">
        <w:rPr>
          <w:bCs/>
          <w:lang w:val="fr-FR"/>
        </w:rPr>
        <w:t xml:space="preserve"> de l'aspirine dans les 72 heures précédentes ne doit pas être utilisé pour la production de composants plaquettaires.</w:t>
      </w:r>
    </w:p>
    <w:p w:rsidR="00273596" w:rsidRPr="0030391F" w:rsidRDefault="00273596" w:rsidP="00273596">
      <w:pPr>
        <w:pStyle w:val="ListParagraph"/>
        <w:rPr>
          <w:bCs/>
          <w:lang w:val="fr-FR"/>
        </w:rPr>
      </w:pPr>
    </w:p>
    <w:p w:rsidR="00D67D3C" w:rsidRPr="0030391F" w:rsidRDefault="00205566" w:rsidP="00D67D3C">
      <w:pPr>
        <w:pStyle w:val="ListParagraph"/>
        <w:numPr>
          <w:ilvl w:val="2"/>
          <w:numId w:val="1"/>
        </w:numPr>
        <w:jc w:val="both"/>
        <w:rPr>
          <w:bCs/>
          <w:lang w:val="fr-FR"/>
        </w:rPr>
      </w:pPr>
      <w:r w:rsidRPr="00460BB6">
        <w:rPr>
          <w:b/>
          <w:bCs/>
          <w:lang w:val="fr-FR"/>
        </w:rPr>
        <w:t xml:space="preserve">Les antécédents médicaux et l’état </w:t>
      </w:r>
      <w:r w:rsidR="001A1CDA" w:rsidRPr="00460BB6">
        <w:rPr>
          <w:b/>
          <w:bCs/>
          <w:lang w:val="fr-FR"/>
        </w:rPr>
        <w:t>général</w:t>
      </w:r>
      <w:r w:rsidR="001A1CDA" w:rsidRPr="0030391F">
        <w:rPr>
          <w:bCs/>
          <w:lang w:val="fr-FR"/>
        </w:rPr>
        <w:t xml:space="preserve">: Le </w:t>
      </w:r>
      <w:r w:rsidRPr="0030391F">
        <w:rPr>
          <w:bCs/>
          <w:lang w:val="fr-FR"/>
        </w:rPr>
        <w:t xml:space="preserve">donneur potentiel doit </w:t>
      </w:r>
      <w:r w:rsidR="001A1CDA" w:rsidRPr="0030391F">
        <w:rPr>
          <w:bCs/>
          <w:lang w:val="fr-FR"/>
        </w:rPr>
        <w:t xml:space="preserve">être en </w:t>
      </w:r>
      <w:r w:rsidR="00273596" w:rsidRPr="0030391F">
        <w:rPr>
          <w:bCs/>
          <w:lang w:val="fr-FR"/>
        </w:rPr>
        <w:t xml:space="preserve">   </w:t>
      </w:r>
      <w:r w:rsidR="001A1CDA" w:rsidRPr="0030391F">
        <w:rPr>
          <w:bCs/>
          <w:lang w:val="fr-FR"/>
        </w:rPr>
        <w:t xml:space="preserve">bonne santé, et non pas sous l'influence d'alcool ou de drogues. Le donneur potentiel doit être exempt de la maladie d'un organe majeur (par exemple le cœur, le foie, les poumons) le cancer, ou la tendance de saignement anormal, sauf </w:t>
      </w:r>
      <w:r w:rsidRPr="0030391F">
        <w:rPr>
          <w:bCs/>
          <w:lang w:val="fr-FR"/>
        </w:rPr>
        <w:t xml:space="preserve">sous décision </w:t>
      </w:r>
      <w:r w:rsidR="001A1CDA" w:rsidRPr="0030391F">
        <w:rPr>
          <w:bCs/>
          <w:lang w:val="fr-FR"/>
        </w:rPr>
        <w:t xml:space="preserve">par le directeur médical. Le site de ponction veineuse doit être </w:t>
      </w:r>
      <w:proofErr w:type="gramStart"/>
      <w:r w:rsidR="001A1CDA" w:rsidRPr="0030391F">
        <w:rPr>
          <w:bCs/>
          <w:lang w:val="fr-FR"/>
        </w:rPr>
        <w:t>évaluée</w:t>
      </w:r>
      <w:proofErr w:type="gramEnd"/>
      <w:r w:rsidR="001A1CDA" w:rsidRPr="0030391F">
        <w:rPr>
          <w:bCs/>
          <w:lang w:val="fr-FR"/>
        </w:rPr>
        <w:t xml:space="preserve"> pour lésions sur la peau. Le site de ponction veineuse doit être exempt de maladie infectieuse de la peau et toute maladie qui pourrait créer un </w:t>
      </w:r>
      <w:r w:rsidR="001A1CDA" w:rsidRPr="0030391F">
        <w:rPr>
          <w:bCs/>
          <w:lang w:val="fr-FR"/>
        </w:rPr>
        <w:lastRenderedPageBreak/>
        <w:t xml:space="preserve">risque de contamination du sang. Différer </w:t>
      </w:r>
      <w:r w:rsidR="00E332AE" w:rsidRPr="0030391F">
        <w:rPr>
          <w:bCs/>
          <w:lang w:val="fr-FR"/>
        </w:rPr>
        <w:t xml:space="preserve">un donneur ayant subi une </w:t>
      </w:r>
      <w:r w:rsidR="001A1CDA" w:rsidRPr="0030391F">
        <w:rPr>
          <w:bCs/>
          <w:lang w:val="fr-FR"/>
        </w:rPr>
        <w:t>extraction dentaire ou une intervention chirurgicale pour un minimum de 72 heures.</w:t>
      </w:r>
    </w:p>
    <w:p w:rsidR="00D67D3C" w:rsidRPr="0030391F" w:rsidRDefault="00D67D3C" w:rsidP="00D67D3C">
      <w:pPr>
        <w:pStyle w:val="ListParagraph"/>
        <w:rPr>
          <w:bCs/>
          <w:lang w:val="fr-FR"/>
        </w:rPr>
      </w:pPr>
    </w:p>
    <w:p w:rsidR="00D67D3C" w:rsidRPr="0030391F" w:rsidRDefault="001A1CDA" w:rsidP="00D67D3C">
      <w:pPr>
        <w:pStyle w:val="ListParagraph"/>
        <w:numPr>
          <w:ilvl w:val="2"/>
          <w:numId w:val="1"/>
        </w:numPr>
        <w:jc w:val="both"/>
        <w:rPr>
          <w:bCs/>
          <w:lang w:val="fr-FR"/>
        </w:rPr>
      </w:pPr>
      <w:r w:rsidRPr="0030391F">
        <w:rPr>
          <w:bCs/>
          <w:lang w:val="fr-FR"/>
        </w:rPr>
        <w:t xml:space="preserve"> </w:t>
      </w:r>
      <w:r w:rsidRPr="00460BB6">
        <w:rPr>
          <w:b/>
          <w:bCs/>
          <w:lang w:val="fr-FR"/>
        </w:rPr>
        <w:t>Grossesse</w:t>
      </w:r>
      <w:r w:rsidRPr="0030391F">
        <w:rPr>
          <w:bCs/>
          <w:lang w:val="fr-FR"/>
        </w:rPr>
        <w:t>: Différer pendant la grossesse et pendant l'allaitement.</w:t>
      </w:r>
    </w:p>
    <w:p w:rsidR="00D67D3C" w:rsidRPr="0030391F" w:rsidRDefault="00D67D3C" w:rsidP="00D67D3C">
      <w:pPr>
        <w:pStyle w:val="ListParagraph"/>
        <w:rPr>
          <w:bCs/>
          <w:lang w:val="fr-FR"/>
        </w:rPr>
      </w:pPr>
    </w:p>
    <w:p w:rsidR="003C3E02" w:rsidRPr="0030391F" w:rsidRDefault="001A35BD" w:rsidP="001A1CDA">
      <w:pPr>
        <w:pStyle w:val="ListParagraph"/>
        <w:numPr>
          <w:ilvl w:val="2"/>
          <w:numId w:val="1"/>
        </w:numPr>
        <w:jc w:val="both"/>
        <w:rPr>
          <w:bCs/>
          <w:lang w:val="fr-FR"/>
        </w:rPr>
      </w:pPr>
      <w:r w:rsidRPr="00460BB6">
        <w:rPr>
          <w:b/>
          <w:bCs/>
          <w:lang w:val="fr-FR"/>
        </w:rPr>
        <w:t xml:space="preserve">Transfusé  </w:t>
      </w:r>
      <w:r w:rsidR="001A1CDA" w:rsidRPr="00460BB6">
        <w:rPr>
          <w:b/>
          <w:bCs/>
          <w:lang w:val="fr-FR"/>
        </w:rPr>
        <w:t>de sang ou de composants sanguins</w:t>
      </w:r>
      <w:r w:rsidR="001A1CDA" w:rsidRPr="0030391F">
        <w:rPr>
          <w:bCs/>
          <w:lang w:val="fr-FR"/>
        </w:rPr>
        <w:t xml:space="preserve">: </w:t>
      </w:r>
      <w:r w:rsidRPr="0030391F">
        <w:rPr>
          <w:bCs/>
          <w:lang w:val="fr-FR"/>
        </w:rPr>
        <w:t>exclure</w:t>
      </w:r>
      <w:r w:rsidR="001A1CDA" w:rsidRPr="0030391F">
        <w:rPr>
          <w:bCs/>
          <w:lang w:val="fr-FR"/>
        </w:rPr>
        <w:t xml:space="preserve"> le</w:t>
      </w:r>
      <w:r w:rsidRPr="0030391F">
        <w:rPr>
          <w:bCs/>
          <w:lang w:val="fr-FR"/>
        </w:rPr>
        <w:t xml:space="preserve"> donneur</w:t>
      </w:r>
      <w:r w:rsidR="001A1CDA" w:rsidRPr="0030391F">
        <w:rPr>
          <w:bCs/>
          <w:lang w:val="fr-FR"/>
        </w:rPr>
        <w:t xml:space="preserve"> pendant 12 mois suivant </w:t>
      </w:r>
      <w:r w:rsidRPr="0030391F">
        <w:rPr>
          <w:bCs/>
          <w:lang w:val="fr-FR"/>
        </w:rPr>
        <w:t>la transfusion</w:t>
      </w:r>
      <w:r w:rsidR="001A1CDA" w:rsidRPr="0030391F">
        <w:rPr>
          <w:bCs/>
          <w:lang w:val="fr-FR"/>
        </w:rPr>
        <w:t xml:space="preserve"> de sang, de composants sanguins ou de facteurs de coagulation dérivés du plasma.</w:t>
      </w:r>
    </w:p>
    <w:p w:rsidR="003C3E02" w:rsidRPr="0030391F" w:rsidRDefault="003C3E02" w:rsidP="003C3E02">
      <w:pPr>
        <w:pStyle w:val="ListParagraph"/>
        <w:rPr>
          <w:bCs/>
          <w:lang w:val="fr-FR"/>
        </w:rPr>
      </w:pPr>
    </w:p>
    <w:p w:rsidR="003C3E02" w:rsidRPr="0030391F" w:rsidRDefault="005F3ADD" w:rsidP="001A1CDA">
      <w:pPr>
        <w:pStyle w:val="ListParagraph"/>
        <w:numPr>
          <w:ilvl w:val="2"/>
          <w:numId w:val="1"/>
        </w:numPr>
        <w:jc w:val="both"/>
        <w:rPr>
          <w:bCs/>
          <w:lang w:val="fr-FR"/>
        </w:rPr>
      </w:pPr>
      <w:r w:rsidRPr="00460BB6">
        <w:rPr>
          <w:b/>
          <w:bCs/>
          <w:lang w:val="fr-FR"/>
        </w:rPr>
        <w:t>Immunisations</w:t>
      </w:r>
      <w:r w:rsidR="001A1CDA" w:rsidRPr="00460BB6">
        <w:rPr>
          <w:b/>
          <w:bCs/>
          <w:lang w:val="fr-FR"/>
        </w:rPr>
        <w:t xml:space="preserve"> et vaccinations</w:t>
      </w:r>
      <w:r w:rsidR="001A1CDA" w:rsidRPr="0030391F">
        <w:rPr>
          <w:bCs/>
          <w:lang w:val="fr-FR"/>
        </w:rPr>
        <w:t xml:space="preserve">: </w:t>
      </w:r>
      <w:r w:rsidRPr="0030391F">
        <w:rPr>
          <w:bCs/>
          <w:lang w:val="fr-FR"/>
        </w:rPr>
        <w:t>différer</w:t>
      </w:r>
      <w:r w:rsidR="001A1CDA" w:rsidRPr="0030391F">
        <w:rPr>
          <w:bCs/>
          <w:lang w:val="fr-FR"/>
        </w:rPr>
        <w:t xml:space="preserve"> pour deux semaines suivant la réception de vaccins vivants atténués virales et bactériennes (rougeole, les oreillons, la poliomyélite, la fièvre typhoïde, la fièvre jaune). Différer pendant quatre semaines suivant la réception de vaccins vivants atténués virales et bactériennes (rubéole, varicelle, BCG).</w:t>
      </w:r>
    </w:p>
    <w:p w:rsidR="003C3E02" w:rsidRPr="0030391F" w:rsidRDefault="003C3E02" w:rsidP="003C3E02">
      <w:pPr>
        <w:pStyle w:val="ListParagraph"/>
        <w:rPr>
          <w:bCs/>
          <w:lang w:val="fr-FR"/>
        </w:rPr>
      </w:pPr>
    </w:p>
    <w:p w:rsidR="001A1CDA" w:rsidRPr="0030391F" w:rsidRDefault="001A1CDA" w:rsidP="001A1CDA">
      <w:pPr>
        <w:pStyle w:val="ListParagraph"/>
        <w:numPr>
          <w:ilvl w:val="2"/>
          <w:numId w:val="1"/>
        </w:numPr>
        <w:jc w:val="both"/>
        <w:rPr>
          <w:bCs/>
          <w:lang w:val="fr-FR"/>
        </w:rPr>
      </w:pPr>
      <w:r w:rsidRPr="00460BB6">
        <w:rPr>
          <w:b/>
          <w:bCs/>
          <w:lang w:val="fr-FR"/>
        </w:rPr>
        <w:t>Maladies infectieuses</w:t>
      </w:r>
      <w:r w:rsidRPr="0030391F">
        <w:rPr>
          <w:bCs/>
          <w:lang w:val="fr-FR"/>
        </w:rPr>
        <w:t>:</w:t>
      </w:r>
    </w:p>
    <w:p w:rsidR="003C3E02" w:rsidRPr="0030391F" w:rsidRDefault="003C3E02" w:rsidP="003C3E02">
      <w:pPr>
        <w:pStyle w:val="ListParagraph"/>
        <w:numPr>
          <w:ilvl w:val="3"/>
          <w:numId w:val="1"/>
        </w:numPr>
        <w:tabs>
          <w:tab w:val="clear" w:pos="2422"/>
          <w:tab w:val="num" w:pos="1985"/>
        </w:tabs>
        <w:ind w:left="1701" w:firstLine="1"/>
        <w:jc w:val="both"/>
        <w:rPr>
          <w:bCs/>
          <w:lang w:val="fr-FR"/>
        </w:rPr>
      </w:pPr>
      <w:r w:rsidRPr="0030391F">
        <w:rPr>
          <w:bCs/>
          <w:lang w:val="fr-FR"/>
        </w:rPr>
        <w:t>Exclusion permanente s’il</w:t>
      </w:r>
      <w:r w:rsidR="001A1CDA" w:rsidRPr="0030391F">
        <w:rPr>
          <w:bCs/>
          <w:lang w:val="fr-FR"/>
        </w:rPr>
        <w:t xml:space="preserve"> existe des preuves cliniques ou de laboratoire </w:t>
      </w:r>
      <w:r w:rsidRPr="0030391F">
        <w:rPr>
          <w:bCs/>
          <w:lang w:val="fr-FR"/>
        </w:rPr>
        <w:t xml:space="preserve"> </w:t>
      </w:r>
      <w:r w:rsidR="001A1CDA" w:rsidRPr="0030391F">
        <w:rPr>
          <w:bCs/>
          <w:lang w:val="fr-FR"/>
        </w:rPr>
        <w:t xml:space="preserve">présent ou passé de l'infection par le VIH, VHB, VHC, la trypanosomiase, ou maladie de </w:t>
      </w:r>
      <w:proofErr w:type="spellStart"/>
      <w:r w:rsidR="001A1CDA" w:rsidRPr="0030391F">
        <w:rPr>
          <w:bCs/>
          <w:lang w:val="fr-FR"/>
        </w:rPr>
        <w:t>Chagas</w:t>
      </w:r>
      <w:proofErr w:type="spellEnd"/>
      <w:r w:rsidR="001A1CDA" w:rsidRPr="0030391F">
        <w:rPr>
          <w:bCs/>
          <w:lang w:val="fr-FR"/>
        </w:rPr>
        <w:t>.</w:t>
      </w:r>
    </w:p>
    <w:p w:rsidR="003C3E02" w:rsidRPr="0030391F" w:rsidRDefault="003C3E02" w:rsidP="003C3E02">
      <w:pPr>
        <w:pStyle w:val="ListParagraph"/>
        <w:ind w:left="1702"/>
        <w:jc w:val="both"/>
        <w:rPr>
          <w:bCs/>
          <w:lang w:val="fr-FR"/>
        </w:rPr>
      </w:pPr>
    </w:p>
    <w:p w:rsidR="003C3E02" w:rsidRPr="0030391F" w:rsidRDefault="001A1CDA" w:rsidP="001A1CDA">
      <w:pPr>
        <w:pStyle w:val="ListParagraph"/>
        <w:numPr>
          <w:ilvl w:val="3"/>
          <w:numId w:val="1"/>
        </w:numPr>
        <w:tabs>
          <w:tab w:val="clear" w:pos="2422"/>
          <w:tab w:val="num" w:pos="1985"/>
        </w:tabs>
        <w:ind w:left="1418"/>
        <w:jc w:val="both"/>
        <w:rPr>
          <w:bCs/>
          <w:lang w:val="fr-FR"/>
        </w:rPr>
      </w:pPr>
      <w:r w:rsidRPr="0030391F">
        <w:rPr>
          <w:bCs/>
          <w:lang w:val="fr-FR"/>
        </w:rPr>
        <w:t xml:space="preserve">Exclusion permanente si il </w:t>
      </w:r>
      <w:proofErr w:type="spellStart"/>
      <w:r w:rsidRPr="0030391F">
        <w:rPr>
          <w:bCs/>
          <w:lang w:val="fr-FR"/>
        </w:rPr>
        <w:t>ya</w:t>
      </w:r>
      <w:proofErr w:type="spellEnd"/>
      <w:r w:rsidRPr="0030391F">
        <w:rPr>
          <w:bCs/>
          <w:lang w:val="fr-FR"/>
        </w:rPr>
        <w:t xml:space="preserve"> eu un contact sexuel avec une personne infectée par le VIH ou à risque élevé d'infection à VIH.</w:t>
      </w:r>
    </w:p>
    <w:p w:rsidR="003C3E02" w:rsidRPr="0030391F" w:rsidRDefault="003C3E02" w:rsidP="003C3E02">
      <w:pPr>
        <w:pStyle w:val="ListParagraph"/>
        <w:rPr>
          <w:bCs/>
          <w:lang w:val="fr-FR"/>
        </w:rPr>
      </w:pPr>
    </w:p>
    <w:p w:rsidR="003C3E02" w:rsidRPr="0030391F" w:rsidRDefault="003C3E02" w:rsidP="003C3E02">
      <w:pPr>
        <w:pStyle w:val="ListParagraph"/>
        <w:ind w:left="1418"/>
        <w:jc w:val="both"/>
        <w:rPr>
          <w:bCs/>
          <w:lang w:val="fr-FR"/>
        </w:rPr>
      </w:pPr>
    </w:p>
    <w:p w:rsidR="003C3E02" w:rsidRPr="0030391F" w:rsidRDefault="001A1CDA" w:rsidP="001A1CDA">
      <w:pPr>
        <w:pStyle w:val="ListParagraph"/>
        <w:numPr>
          <w:ilvl w:val="3"/>
          <w:numId w:val="1"/>
        </w:numPr>
        <w:tabs>
          <w:tab w:val="clear" w:pos="2422"/>
          <w:tab w:val="num" w:pos="1985"/>
        </w:tabs>
        <w:ind w:left="1418"/>
        <w:jc w:val="both"/>
        <w:rPr>
          <w:bCs/>
          <w:lang w:val="fr-FR"/>
        </w:rPr>
      </w:pPr>
      <w:r w:rsidRPr="0030391F">
        <w:rPr>
          <w:bCs/>
          <w:lang w:val="fr-FR"/>
        </w:rPr>
        <w:t xml:space="preserve">Douze mois </w:t>
      </w:r>
      <w:r w:rsidR="00774348" w:rsidRPr="0030391F">
        <w:rPr>
          <w:bCs/>
          <w:lang w:val="fr-FR"/>
        </w:rPr>
        <w:t>d’</w:t>
      </w:r>
      <w:r w:rsidRPr="0030391F">
        <w:rPr>
          <w:bCs/>
          <w:lang w:val="fr-FR"/>
        </w:rPr>
        <w:t>exclusion si il y</w:t>
      </w:r>
      <w:r w:rsidR="004F2A33" w:rsidRPr="0030391F">
        <w:rPr>
          <w:bCs/>
          <w:lang w:val="fr-FR"/>
        </w:rPr>
        <w:t xml:space="preserve"> </w:t>
      </w:r>
      <w:r w:rsidRPr="0030391F">
        <w:rPr>
          <w:bCs/>
          <w:lang w:val="fr-FR"/>
        </w:rPr>
        <w:t>a eu exposition des muqueuses à du sang.</w:t>
      </w:r>
    </w:p>
    <w:p w:rsidR="003C3E02" w:rsidRPr="0030391F" w:rsidRDefault="003C3E02" w:rsidP="003C3E02">
      <w:pPr>
        <w:pStyle w:val="ListParagraph"/>
        <w:ind w:left="1418"/>
        <w:jc w:val="both"/>
        <w:rPr>
          <w:bCs/>
          <w:lang w:val="fr-FR"/>
        </w:rPr>
      </w:pPr>
    </w:p>
    <w:p w:rsidR="003C3E02" w:rsidRPr="0030391F" w:rsidRDefault="00663B63" w:rsidP="001A1CDA">
      <w:pPr>
        <w:pStyle w:val="ListParagraph"/>
        <w:numPr>
          <w:ilvl w:val="3"/>
          <w:numId w:val="1"/>
        </w:numPr>
        <w:tabs>
          <w:tab w:val="clear" w:pos="2422"/>
          <w:tab w:val="num" w:pos="1985"/>
        </w:tabs>
        <w:ind w:left="1418"/>
        <w:jc w:val="both"/>
        <w:rPr>
          <w:bCs/>
          <w:lang w:val="fr-FR"/>
        </w:rPr>
      </w:pPr>
      <w:r w:rsidRPr="0030391F">
        <w:rPr>
          <w:bCs/>
          <w:lang w:val="fr-FR"/>
        </w:rPr>
        <w:t xml:space="preserve"> E</w:t>
      </w:r>
      <w:r w:rsidR="001A1CDA" w:rsidRPr="0030391F">
        <w:rPr>
          <w:bCs/>
          <w:lang w:val="fr-FR"/>
        </w:rPr>
        <w:t xml:space="preserve">xclusion de douze mois si il </w:t>
      </w:r>
      <w:proofErr w:type="spellStart"/>
      <w:r w:rsidR="001A1CDA" w:rsidRPr="0030391F">
        <w:rPr>
          <w:bCs/>
          <w:lang w:val="fr-FR"/>
        </w:rPr>
        <w:t>ya</w:t>
      </w:r>
      <w:proofErr w:type="spellEnd"/>
      <w:r w:rsidR="001A1CDA" w:rsidRPr="0030391F">
        <w:rPr>
          <w:bCs/>
          <w:lang w:val="fr-FR"/>
        </w:rPr>
        <w:t xml:space="preserve"> eu pénétration de la peau non-stérile </w:t>
      </w:r>
      <w:r w:rsidRPr="0030391F">
        <w:rPr>
          <w:bCs/>
          <w:lang w:val="fr-FR"/>
        </w:rPr>
        <w:t>par</w:t>
      </w:r>
      <w:r w:rsidR="001A1CDA" w:rsidRPr="0030391F">
        <w:rPr>
          <w:bCs/>
          <w:lang w:val="fr-FR"/>
        </w:rPr>
        <w:t xml:space="preserve"> instruments, du matériel ou des armes contaminés par du sang ou des fluides corporels </w:t>
      </w:r>
      <w:r w:rsidRPr="0030391F">
        <w:rPr>
          <w:bCs/>
          <w:lang w:val="fr-FR"/>
        </w:rPr>
        <w:t>autres que le donneur soi-même</w:t>
      </w:r>
      <w:r w:rsidR="001A1CDA" w:rsidRPr="0030391F">
        <w:rPr>
          <w:bCs/>
          <w:lang w:val="fr-FR"/>
        </w:rPr>
        <w:t xml:space="preserve">. </w:t>
      </w:r>
      <w:r w:rsidRPr="0030391F">
        <w:rPr>
          <w:bCs/>
          <w:lang w:val="fr-FR"/>
        </w:rPr>
        <w:t>Ça c</w:t>
      </w:r>
      <w:r w:rsidR="001A1CDA" w:rsidRPr="0030391F">
        <w:rPr>
          <w:bCs/>
          <w:lang w:val="fr-FR"/>
        </w:rPr>
        <w:t xml:space="preserve">omprend les tatouages, les </w:t>
      </w:r>
      <w:r w:rsidRPr="0030391F">
        <w:rPr>
          <w:bCs/>
          <w:lang w:val="fr-FR"/>
        </w:rPr>
        <w:t>perforations</w:t>
      </w:r>
      <w:r w:rsidR="001A1CDA" w:rsidRPr="0030391F">
        <w:rPr>
          <w:bCs/>
          <w:lang w:val="fr-FR"/>
        </w:rPr>
        <w:t>, scarifications et</w:t>
      </w:r>
      <w:r w:rsidRPr="0030391F">
        <w:rPr>
          <w:bCs/>
          <w:lang w:val="fr-FR"/>
        </w:rPr>
        <w:t>c</w:t>
      </w:r>
      <w:r w:rsidR="001A1CDA" w:rsidRPr="0030391F">
        <w:rPr>
          <w:bCs/>
          <w:lang w:val="fr-FR"/>
        </w:rPr>
        <w:t>.</w:t>
      </w:r>
    </w:p>
    <w:p w:rsidR="003C3E02" w:rsidRPr="0030391F" w:rsidRDefault="003C3E02" w:rsidP="003C3E02">
      <w:pPr>
        <w:pStyle w:val="ListParagraph"/>
        <w:rPr>
          <w:bCs/>
          <w:lang w:val="fr-FR"/>
        </w:rPr>
      </w:pPr>
    </w:p>
    <w:p w:rsidR="003C3E02" w:rsidRPr="0030391F" w:rsidRDefault="003C3E02" w:rsidP="003C3E02">
      <w:pPr>
        <w:pStyle w:val="ListParagraph"/>
        <w:ind w:left="1418"/>
        <w:jc w:val="both"/>
        <w:rPr>
          <w:bCs/>
          <w:lang w:val="fr-FR"/>
        </w:rPr>
      </w:pPr>
    </w:p>
    <w:p w:rsidR="001A1CDA" w:rsidRPr="0030391F" w:rsidRDefault="001A1CDA" w:rsidP="001A1CDA">
      <w:pPr>
        <w:pStyle w:val="ListParagraph"/>
        <w:numPr>
          <w:ilvl w:val="3"/>
          <w:numId w:val="1"/>
        </w:numPr>
        <w:tabs>
          <w:tab w:val="clear" w:pos="2422"/>
          <w:tab w:val="num" w:pos="1985"/>
        </w:tabs>
        <w:ind w:left="1418"/>
        <w:jc w:val="both"/>
        <w:rPr>
          <w:bCs/>
          <w:lang w:val="fr-FR"/>
        </w:rPr>
      </w:pPr>
      <w:r w:rsidRPr="0030391F">
        <w:rPr>
          <w:bCs/>
          <w:lang w:val="fr-FR"/>
        </w:rPr>
        <w:t xml:space="preserve">Douze mois </w:t>
      </w:r>
      <w:r w:rsidR="00DA24E8" w:rsidRPr="0030391F">
        <w:rPr>
          <w:bCs/>
          <w:lang w:val="fr-FR"/>
        </w:rPr>
        <w:t>d’</w:t>
      </w:r>
      <w:r w:rsidRPr="0030391F">
        <w:rPr>
          <w:bCs/>
          <w:lang w:val="fr-FR"/>
        </w:rPr>
        <w:t xml:space="preserve">exclusion (à la suite du dernier contact) si il </w:t>
      </w:r>
      <w:proofErr w:type="spellStart"/>
      <w:r w:rsidRPr="0030391F">
        <w:rPr>
          <w:bCs/>
          <w:lang w:val="fr-FR"/>
        </w:rPr>
        <w:t>ya</w:t>
      </w:r>
      <w:proofErr w:type="spellEnd"/>
      <w:r w:rsidRPr="0030391F">
        <w:rPr>
          <w:bCs/>
          <w:lang w:val="fr-FR"/>
        </w:rPr>
        <w:t xml:space="preserve"> eu des contacts sexuels avec, ou si le donneur potentiel a vécu avec une personne qui:</w:t>
      </w:r>
    </w:p>
    <w:p w:rsidR="00724A3D" w:rsidRPr="0030391F" w:rsidRDefault="00724A3D" w:rsidP="00724A3D">
      <w:pPr>
        <w:pStyle w:val="ListParagraph"/>
        <w:ind w:left="1418"/>
        <w:jc w:val="both"/>
        <w:rPr>
          <w:bCs/>
          <w:lang w:val="fr-FR"/>
        </w:rPr>
      </w:pPr>
    </w:p>
    <w:p w:rsidR="00724A3D" w:rsidRPr="0030391F" w:rsidRDefault="001A1CDA" w:rsidP="00724A3D">
      <w:pPr>
        <w:pStyle w:val="ListParagraph"/>
        <w:numPr>
          <w:ilvl w:val="4"/>
          <w:numId w:val="1"/>
        </w:numPr>
        <w:jc w:val="both"/>
        <w:rPr>
          <w:bCs/>
          <w:lang w:val="fr-FR"/>
        </w:rPr>
      </w:pPr>
      <w:r w:rsidRPr="0030391F">
        <w:rPr>
          <w:bCs/>
          <w:lang w:val="fr-FR"/>
        </w:rPr>
        <w:t>A l'hépatite B</w:t>
      </w:r>
      <w:r w:rsidR="00DA24E8" w:rsidRPr="0030391F">
        <w:rPr>
          <w:bCs/>
          <w:lang w:val="fr-FR"/>
        </w:rPr>
        <w:t xml:space="preserve"> aiguë ou chronique </w:t>
      </w:r>
      <w:r w:rsidRPr="0030391F">
        <w:rPr>
          <w:bCs/>
          <w:lang w:val="fr-FR"/>
        </w:rPr>
        <w:t>(</w:t>
      </w:r>
      <w:r w:rsidR="00DA24E8" w:rsidRPr="0030391F">
        <w:rPr>
          <w:bCs/>
          <w:lang w:val="fr-FR"/>
        </w:rPr>
        <w:t xml:space="preserve">Test </w:t>
      </w:r>
      <w:proofErr w:type="spellStart"/>
      <w:r w:rsidRPr="0030391F">
        <w:rPr>
          <w:bCs/>
          <w:lang w:val="fr-FR"/>
        </w:rPr>
        <w:t>HBsAg</w:t>
      </w:r>
      <w:proofErr w:type="spellEnd"/>
      <w:r w:rsidRPr="0030391F">
        <w:rPr>
          <w:bCs/>
          <w:lang w:val="fr-FR"/>
        </w:rPr>
        <w:t xml:space="preserve"> positif, </w:t>
      </w:r>
      <w:r w:rsidR="00DA24E8" w:rsidRPr="0030391F">
        <w:rPr>
          <w:bCs/>
          <w:lang w:val="fr-FR"/>
        </w:rPr>
        <w:t xml:space="preserve">NAT </w:t>
      </w:r>
      <w:r w:rsidRPr="0030391F">
        <w:rPr>
          <w:bCs/>
          <w:lang w:val="fr-FR"/>
        </w:rPr>
        <w:t>VHB)</w:t>
      </w:r>
    </w:p>
    <w:p w:rsidR="003A2256" w:rsidRPr="0030391F" w:rsidRDefault="00DA24E8" w:rsidP="003A2256">
      <w:pPr>
        <w:pStyle w:val="ListParagraph"/>
        <w:numPr>
          <w:ilvl w:val="4"/>
          <w:numId w:val="1"/>
        </w:numPr>
        <w:ind w:left="1418" w:firstLine="0"/>
        <w:jc w:val="both"/>
        <w:rPr>
          <w:bCs/>
          <w:lang w:val="fr-FR"/>
        </w:rPr>
      </w:pPr>
      <w:r w:rsidRPr="0030391F">
        <w:rPr>
          <w:bCs/>
          <w:lang w:val="fr-FR"/>
        </w:rPr>
        <w:t>Est</w:t>
      </w:r>
      <w:r w:rsidR="001A1CDA" w:rsidRPr="0030391F">
        <w:rPr>
          <w:bCs/>
          <w:lang w:val="fr-FR"/>
        </w:rPr>
        <w:t xml:space="preserve"> symptomatique </w:t>
      </w:r>
      <w:r w:rsidRPr="0030391F">
        <w:rPr>
          <w:bCs/>
          <w:lang w:val="fr-FR"/>
        </w:rPr>
        <w:t xml:space="preserve">à </w:t>
      </w:r>
      <w:r w:rsidR="001A1CDA" w:rsidRPr="0030391F">
        <w:rPr>
          <w:bCs/>
          <w:lang w:val="fr-FR"/>
        </w:rPr>
        <w:t xml:space="preserve">l'hépatite C. </w:t>
      </w:r>
    </w:p>
    <w:p w:rsidR="003A2256" w:rsidRPr="0030391F" w:rsidRDefault="001A1CDA" w:rsidP="001A1CDA">
      <w:pPr>
        <w:pStyle w:val="ListParagraph"/>
        <w:numPr>
          <w:ilvl w:val="4"/>
          <w:numId w:val="1"/>
        </w:numPr>
        <w:ind w:left="1418" w:firstLine="0"/>
        <w:jc w:val="both"/>
        <w:rPr>
          <w:bCs/>
          <w:lang w:val="fr-FR"/>
        </w:rPr>
      </w:pPr>
      <w:r w:rsidRPr="0030391F">
        <w:rPr>
          <w:bCs/>
          <w:lang w:val="fr-FR"/>
        </w:rPr>
        <w:t>Est symptomatique pour toute autre hépatite virale.</w:t>
      </w:r>
    </w:p>
    <w:p w:rsidR="001A1CDA" w:rsidRPr="0030391F" w:rsidRDefault="001A1CDA" w:rsidP="001A1CDA">
      <w:pPr>
        <w:pStyle w:val="ListParagraph"/>
        <w:numPr>
          <w:ilvl w:val="4"/>
          <w:numId w:val="1"/>
        </w:numPr>
        <w:ind w:left="1418" w:firstLine="0"/>
        <w:jc w:val="both"/>
        <w:rPr>
          <w:bCs/>
          <w:lang w:val="fr-FR"/>
        </w:rPr>
      </w:pPr>
      <w:r w:rsidRPr="0030391F">
        <w:rPr>
          <w:bCs/>
          <w:lang w:val="fr-FR"/>
        </w:rPr>
        <w:t xml:space="preserve">Douze mois </w:t>
      </w:r>
      <w:r w:rsidR="00660A44" w:rsidRPr="0030391F">
        <w:rPr>
          <w:bCs/>
          <w:lang w:val="fr-FR"/>
        </w:rPr>
        <w:t xml:space="preserve">d'exclusion </w:t>
      </w:r>
      <w:r w:rsidRPr="0030391F">
        <w:rPr>
          <w:bCs/>
          <w:lang w:val="fr-FR"/>
        </w:rPr>
        <w:t>après le diagnostic  d'une infection sexuellement transmissible comme la syphilis ou la gonorrhée (doit avoir terminé le traitement.)</w:t>
      </w:r>
    </w:p>
    <w:p w:rsidR="003A2256" w:rsidRPr="0030391F" w:rsidRDefault="003A2256" w:rsidP="003A2256">
      <w:pPr>
        <w:pStyle w:val="ListParagraph"/>
        <w:ind w:left="1418"/>
        <w:jc w:val="both"/>
        <w:rPr>
          <w:bCs/>
          <w:lang w:val="fr-FR"/>
        </w:rPr>
      </w:pPr>
    </w:p>
    <w:p w:rsidR="001A1CDA" w:rsidRPr="00460BB6" w:rsidRDefault="009F1EB8" w:rsidP="001A1CDA">
      <w:pPr>
        <w:pStyle w:val="ListParagraph"/>
        <w:ind w:left="1418"/>
        <w:jc w:val="both"/>
        <w:rPr>
          <w:b/>
          <w:bCs/>
          <w:lang w:val="fr-FR"/>
        </w:rPr>
      </w:pPr>
      <w:r w:rsidRPr="0030391F">
        <w:rPr>
          <w:bCs/>
          <w:lang w:val="fr-FR"/>
        </w:rPr>
        <w:t>5.2.13</w:t>
      </w:r>
      <w:r w:rsidR="001A1CDA" w:rsidRPr="0030391F">
        <w:rPr>
          <w:bCs/>
          <w:lang w:val="fr-FR"/>
        </w:rPr>
        <w:t xml:space="preserve">. </w:t>
      </w:r>
      <w:r w:rsidR="001A1CDA" w:rsidRPr="00460BB6">
        <w:rPr>
          <w:b/>
          <w:bCs/>
          <w:lang w:val="fr-FR"/>
        </w:rPr>
        <w:t>Paludisme:</w:t>
      </w:r>
    </w:p>
    <w:p w:rsidR="001A1CDA" w:rsidRPr="0030391F" w:rsidRDefault="009F1EB8" w:rsidP="001A1CDA">
      <w:pPr>
        <w:pStyle w:val="ListParagraph"/>
        <w:ind w:left="1418"/>
        <w:jc w:val="both"/>
        <w:rPr>
          <w:bCs/>
          <w:lang w:val="fr-FR"/>
        </w:rPr>
      </w:pPr>
      <w:r w:rsidRPr="0030391F">
        <w:rPr>
          <w:bCs/>
          <w:lang w:val="fr-FR"/>
        </w:rPr>
        <w:t>5.2.13.1</w:t>
      </w:r>
      <w:r w:rsidR="001A1CDA" w:rsidRPr="0030391F">
        <w:rPr>
          <w:bCs/>
          <w:lang w:val="fr-FR"/>
        </w:rPr>
        <w:t xml:space="preserve">. Le donneur potentiel </w:t>
      </w:r>
      <w:r w:rsidR="00D84B42" w:rsidRPr="0030391F">
        <w:rPr>
          <w:bCs/>
          <w:lang w:val="fr-FR"/>
        </w:rPr>
        <w:t>sera</w:t>
      </w:r>
      <w:r w:rsidR="001A1CDA" w:rsidRPr="0030391F">
        <w:rPr>
          <w:bCs/>
          <w:lang w:val="fr-FR"/>
        </w:rPr>
        <w:t xml:space="preserve"> </w:t>
      </w:r>
      <w:r w:rsidR="00D84B42" w:rsidRPr="0030391F">
        <w:rPr>
          <w:bCs/>
          <w:lang w:val="fr-FR"/>
        </w:rPr>
        <w:t>évalué</w:t>
      </w:r>
      <w:r w:rsidR="001A1CDA" w:rsidRPr="0030391F">
        <w:rPr>
          <w:bCs/>
          <w:lang w:val="fr-FR"/>
        </w:rPr>
        <w:t xml:space="preserve"> pour les risques potentiels de transmission du paludisme et, le cas échéant, différé selon les directives nationales.</w:t>
      </w:r>
    </w:p>
    <w:p w:rsidR="009F1EB8" w:rsidRPr="0030391F" w:rsidRDefault="009F1EB8" w:rsidP="001A1CDA">
      <w:pPr>
        <w:pStyle w:val="ListParagraph"/>
        <w:ind w:left="1418"/>
        <w:jc w:val="both"/>
        <w:rPr>
          <w:bCs/>
          <w:lang w:val="fr-FR"/>
        </w:rPr>
      </w:pPr>
    </w:p>
    <w:p w:rsidR="001A1CDA" w:rsidRPr="0030391F" w:rsidRDefault="009F1EB8" w:rsidP="001A1CDA">
      <w:pPr>
        <w:pStyle w:val="ListParagraph"/>
        <w:ind w:left="1418"/>
        <w:jc w:val="both"/>
        <w:rPr>
          <w:bCs/>
          <w:lang w:val="fr-FR"/>
        </w:rPr>
      </w:pPr>
      <w:r w:rsidRPr="0030391F">
        <w:rPr>
          <w:bCs/>
          <w:lang w:val="fr-FR"/>
        </w:rPr>
        <w:lastRenderedPageBreak/>
        <w:t>5</w:t>
      </w:r>
      <w:r w:rsidR="001A1CDA" w:rsidRPr="0030391F">
        <w:rPr>
          <w:bCs/>
          <w:lang w:val="fr-FR"/>
        </w:rPr>
        <w:t xml:space="preserve">.2.14. </w:t>
      </w:r>
      <w:r w:rsidR="001A1CDA" w:rsidRPr="00460BB6">
        <w:rPr>
          <w:b/>
          <w:bCs/>
          <w:lang w:val="fr-FR"/>
        </w:rPr>
        <w:t>Température</w:t>
      </w:r>
    </w:p>
    <w:p w:rsidR="001A1CDA" w:rsidRPr="0030391F" w:rsidRDefault="009F1EB8" w:rsidP="001A1CDA">
      <w:pPr>
        <w:pStyle w:val="ListParagraph"/>
        <w:ind w:left="1418"/>
        <w:jc w:val="both"/>
        <w:rPr>
          <w:bCs/>
          <w:lang w:val="fr-FR"/>
        </w:rPr>
      </w:pPr>
      <w:r w:rsidRPr="0030391F">
        <w:rPr>
          <w:bCs/>
          <w:lang w:val="fr-FR"/>
        </w:rPr>
        <w:t>5</w:t>
      </w:r>
      <w:r w:rsidR="001A1CDA" w:rsidRPr="0030391F">
        <w:rPr>
          <w:bCs/>
          <w:lang w:val="fr-FR"/>
        </w:rPr>
        <w:t xml:space="preserve">.2.14.1. Bien qu'il ne soit pas nécessaire de </w:t>
      </w:r>
      <w:r w:rsidR="00A246F1" w:rsidRPr="0030391F">
        <w:rPr>
          <w:bCs/>
          <w:lang w:val="fr-FR"/>
        </w:rPr>
        <w:t>mesurer la température du donne</w:t>
      </w:r>
      <w:r w:rsidR="001A1CDA" w:rsidRPr="0030391F">
        <w:rPr>
          <w:bCs/>
          <w:lang w:val="fr-FR"/>
        </w:rPr>
        <w:t xml:space="preserve">ur, les </w:t>
      </w:r>
      <w:r w:rsidR="00A246F1" w:rsidRPr="0030391F">
        <w:rPr>
          <w:bCs/>
          <w:lang w:val="fr-FR"/>
        </w:rPr>
        <w:t>donneurs</w:t>
      </w:r>
      <w:r w:rsidR="001A1CDA" w:rsidRPr="0030391F">
        <w:rPr>
          <w:bCs/>
          <w:lang w:val="fr-FR"/>
        </w:rPr>
        <w:t xml:space="preserve"> qui sont</w:t>
      </w:r>
      <w:r w:rsidR="00A246F1" w:rsidRPr="0030391F">
        <w:rPr>
          <w:bCs/>
          <w:lang w:val="fr-FR"/>
        </w:rPr>
        <w:t xml:space="preserve"> </w:t>
      </w:r>
      <w:r w:rsidR="001A1CDA" w:rsidRPr="0030391F">
        <w:rPr>
          <w:bCs/>
          <w:lang w:val="fr-FR"/>
        </w:rPr>
        <w:t xml:space="preserve"> </w:t>
      </w:r>
      <w:r w:rsidR="00A246F1" w:rsidRPr="0030391F">
        <w:rPr>
          <w:bCs/>
          <w:lang w:val="fr-FR"/>
        </w:rPr>
        <w:t>incontestablement</w:t>
      </w:r>
      <w:r w:rsidR="001A1CDA" w:rsidRPr="0030391F">
        <w:rPr>
          <w:bCs/>
          <w:lang w:val="fr-FR"/>
        </w:rPr>
        <w:t xml:space="preserve"> fébrile doivent être </w:t>
      </w:r>
      <w:r w:rsidR="00A246F1" w:rsidRPr="0030391F">
        <w:rPr>
          <w:bCs/>
          <w:lang w:val="fr-FR"/>
        </w:rPr>
        <w:t>exclus</w:t>
      </w:r>
      <w:r w:rsidR="001A1CDA" w:rsidRPr="0030391F">
        <w:rPr>
          <w:bCs/>
          <w:lang w:val="fr-FR"/>
        </w:rPr>
        <w:t>.</w:t>
      </w:r>
    </w:p>
    <w:p w:rsidR="009F1EB8" w:rsidRPr="0030391F" w:rsidRDefault="009F1EB8" w:rsidP="001A1CDA">
      <w:pPr>
        <w:pStyle w:val="ListParagraph"/>
        <w:ind w:left="1418"/>
        <w:jc w:val="both"/>
        <w:rPr>
          <w:bCs/>
          <w:lang w:val="fr-FR"/>
        </w:rPr>
      </w:pPr>
    </w:p>
    <w:p w:rsidR="001A1CDA" w:rsidRPr="0030391F" w:rsidRDefault="009F1EB8" w:rsidP="009F1EB8">
      <w:pPr>
        <w:pStyle w:val="ListParagraph"/>
        <w:numPr>
          <w:ilvl w:val="1"/>
          <w:numId w:val="1"/>
        </w:numPr>
        <w:jc w:val="both"/>
        <w:rPr>
          <w:bCs/>
          <w:lang w:val="fr-FR"/>
        </w:rPr>
      </w:pPr>
      <w:r w:rsidRPr="0030391F">
        <w:rPr>
          <w:bCs/>
          <w:lang w:val="fr-FR"/>
        </w:rPr>
        <w:t>S’</w:t>
      </w:r>
      <w:r w:rsidR="00A50EEF" w:rsidRPr="0030391F">
        <w:rPr>
          <w:bCs/>
          <w:lang w:val="fr-FR"/>
        </w:rPr>
        <w:t>il y a incertitude</w:t>
      </w:r>
      <w:r w:rsidR="001A1CDA" w:rsidRPr="0030391F">
        <w:rPr>
          <w:bCs/>
          <w:lang w:val="fr-FR"/>
        </w:rPr>
        <w:t xml:space="preserve"> sur l'éligibilité du donneur</w:t>
      </w:r>
      <w:r w:rsidR="00A50EEF" w:rsidRPr="0030391F">
        <w:rPr>
          <w:bCs/>
          <w:lang w:val="fr-FR"/>
        </w:rPr>
        <w:t>,</w:t>
      </w:r>
      <w:r w:rsidR="001A1CDA" w:rsidRPr="0030391F">
        <w:rPr>
          <w:bCs/>
          <w:lang w:val="fr-FR"/>
        </w:rPr>
        <w:t xml:space="preserve"> consulter le </w:t>
      </w:r>
      <w:r w:rsidR="00A50EEF" w:rsidRPr="0030391F">
        <w:rPr>
          <w:bCs/>
          <w:lang w:val="fr-FR"/>
        </w:rPr>
        <w:t>directeur médical ou son délégué</w:t>
      </w:r>
      <w:r w:rsidR="001A1CDA" w:rsidRPr="0030391F">
        <w:rPr>
          <w:bCs/>
          <w:lang w:val="fr-FR"/>
        </w:rPr>
        <w:t xml:space="preserve">, dont </w:t>
      </w:r>
      <w:r w:rsidR="00A50EEF" w:rsidRPr="0030391F">
        <w:rPr>
          <w:bCs/>
          <w:lang w:val="fr-FR"/>
        </w:rPr>
        <w:t>l’avis</w:t>
      </w:r>
      <w:r w:rsidR="001A1CDA" w:rsidRPr="0030391F">
        <w:rPr>
          <w:bCs/>
          <w:lang w:val="fr-FR"/>
        </w:rPr>
        <w:t xml:space="preserve"> </w:t>
      </w:r>
      <w:r w:rsidR="00A50EEF" w:rsidRPr="0030391F">
        <w:rPr>
          <w:bCs/>
          <w:lang w:val="fr-FR"/>
        </w:rPr>
        <w:t>doit être concluant</w:t>
      </w:r>
      <w:r w:rsidR="001A1CDA" w:rsidRPr="0030391F">
        <w:rPr>
          <w:bCs/>
          <w:lang w:val="fr-FR"/>
        </w:rPr>
        <w:t>.</w:t>
      </w:r>
    </w:p>
    <w:p w:rsidR="009F1EB8" w:rsidRPr="0030391F" w:rsidRDefault="009F1EB8" w:rsidP="009F1EB8">
      <w:pPr>
        <w:pStyle w:val="ListParagraph"/>
        <w:ind w:left="864"/>
        <w:jc w:val="both"/>
        <w:rPr>
          <w:bCs/>
          <w:lang w:val="fr-FR"/>
        </w:rPr>
      </w:pPr>
    </w:p>
    <w:p w:rsidR="001A1CDA" w:rsidRPr="0030391F" w:rsidRDefault="001A1CDA" w:rsidP="009F1EB8">
      <w:pPr>
        <w:pStyle w:val="ListParagraph"/>
        <w:numPr>
          <w:ilvl w:val="1"/>
          <w:numId w:val="1"/>
        </w:numPr>
        <w:jc w:val="both"/>
        <w:rPr>
          <w:bCs/>
          <w:lang w:val="fr-FR"/>
        </w:rPr>
      </w:pPr>
      <w:r w:rsidRPr="0030391F">
        <w:rPr>
          <w:bCs/>
          <w:lang w:val="fr-FR"/>
        </w:rPr>
        <w:t xml:space="preserve">Si le </w:t>
      </w:r>
      <w:r w:rsidR="00CF795C" w:rsidRPr="0030391F">
        <w:rPr>
          <w:bCs/>
          <w:lang w:val="fr-FR"/>
        </w:rPr>
        <w:t>donneur</w:t>
      </w:r>
      <w:r w:rsidRPr="0030391F">
        <w:rPr>
          <w:bCs/>
          <w:lang w:val="fr-FR"/>
        </w:rPr>
        <w:t xml:space="preserve"> </w:t>
      </w:r>
      <w:r w:rsidR="00CF795C" w:rsidRPr="0030391F">
        <w:rPr>
          <w:bCs/>
          <w:lang w:val="fr-FR"/>
        </w:rPr>
        <w:t xml:space="preserve">doit être </w:t>
      </w:r>
      <w:r w:rsidRPr="0030391F">
        <w:rPr>
          <w:bCs/>
          <w:lang w:val="fr-FR"/>
        </w:rPr>
        <w:t>différé</w:t>
      </w:r>
      <w:r w:rsidR="00CF795C" w:rsidRPr="0030391F">
        <w:rPr>
          <w:bCs/>
          <w:lang w:val="fr-FR"/>
        </w:rPr>
        <w:t>e pour une raison quelconque, il faut l’</w:t>
      </w:r>
      <w:r w:rsidRPr="0030391F">
        <w:rPr>
          <w:bCs/>
          <w:lang w:val="fr-FR"/>
        </w:rPr>
        <w:t xml:space="preserve">expliquer </w:t>
      </w:r>
      <w:r w:rsidR="00CF795C" w:rsidRPr="0030391F">
        <w:rPr>
          <w:bCs/>
          <w:lang w:val="fr-FR"/>
        </w:rPr>
        <w:t>de manière compréhensive</w:t>
      </w:r>
      <w:r w:rsidRPr="0030391F">
        <w:rPr>
          <w:bCs/>
          <w:lang w:val="fr-FR"/>
        </w:rPr>
        <w:t xml:space="preserve"> et veiller à ce qu'i</w:t>
      </w:r>
      <w:r w:rsidR="00CF795C" w:rsidRPr="0030391F">
        <w:rPr>
          <w:bCs/>
          <w:lang w:val="fr-FR"/>
        </w:rPr>
        <w:t xml:space="preserve">l / elle a compris la raison d’exclusion </w:t>
      </w:r>
      <w:r w:rsidRPr="0030391F">
        <w:rPr>
          <w:bCs/>
          <w:lang w:val="fr-FR"/>
        </w:rPr>
        <w:t xml:space="preserve">et de la longueur de ce report. Encourager le </w:t>
      </w:r>
      <w:r w:rsidR="00CF795C" w:rsidRPr="0030391F">
        <w:rPr>
          <w:bCs/>
          <w:lang w:val="fr-FR"/>
        </w:rPr>
        <w:t>donneur</w:t>
      </w:r>
      <w:r w:rsidRPr="0030391F">
        <w:rPr>
          <w:bCs/>
          <w:lang w:val="fr-FR"/>
        </w:rPr>
        <w:t xml:space="preserve"> pour revenir à un don lorsque la période de report a passé.</w:t>
      </w:r>
    </w:p>
    <w:p w:rsidR="009F1EB8" w:rsidRPr="0030391F" w:rsidRDefault="009F1EB8" w:rsidP="009F1EB8">
      <w:pPr>
        <w:pStyle w:val="ListParagraph"/>
        <w:rPr>
          <w:bCs/>
          <w:lang w:val="fr-FR"/>
        </w:rPr>
      </w:pPr>
    </w:p>
    <w:p w:rsidR="009F1EB8" w:rsidRPr="0030391F" w:rsidRDefault="009F1EB8" w:rsidP="009F1EB8">
      <w:pPr>
        <w:pStyle w:val="ListParagraph"/>
        <w:ind w:left="864"/>
        <w:jc w:val="both"/>
        <w:rPr>
          <w:bCs/>
          <w:lang w:val="fr-FR"/>
        </w:rPr>
      </w:pPr>
    </w:p>
    <w:p w:rsidR="001A1CDA" w:rsidRPr="0030391F" w:rsidRDefault="001A1CDA" w:rsidP="009F1EB8">
      <w:pPr>
        <w:pStyle w:val="ListParagraph"/>
        <w:numPr>
          <w:ilvl w:val="2"/>
          <w:numId w:val="1"/>
        </w:numPr>
        <w:jc w:val="both"/>
        <w:rPr>
          <w:bCs/>
          <w:lang w:val="fr-FR"/>
        </w:rPr>
      </w:pPr>
      <w:r w:rsidRPr="0030391F">
        <w:rPr>
          <w:bCs/>
          <w:lang w:val="fr-FR"/>
        </w:rPr>
        <w:t>Enregistrez la raison du report et de la période de report sur l'histoire formulaire médical.</w:t>
      </w:r>
    </w:p>
    <w:p w:rsidR="001A1CDA" w:rsidRPr="0030391F" w:rsidRDefault="001A1CDA" w:rsidP="001A1CDA">
      <w:pPr>
        <w:pStyle w:val="ListParagraph"/>
        <w:ind w:left="1418"/>
        <w:jc w:val="both"/>
        <w:rPr>
          <w:bCs/>
          <w:lang w:val="fr-FR"/>
        </w:rPr>
      </w:pPr>
    </w:p>
    <w:p w:rsidR="001A1CDA" w:rsidRPr="0030391F" w:rsidRDefault="001A1CDA" w:rsidP="001A1CDA">
      <w:pPr>
        <w:pStyle w:val="ListParagraph"/>
        <w:ind w:left="1418"/>
        <w:jc w:val="both"/>
        <w:rPr>
          <w:bCs/>
          <w:lang w:val="fr-FR"/>
        </w:rPr>
      </w:pPr>
    </w:p>
    <w:p w:rsidR="001A1CDA" w:rsidRPr="0030391F" w:rsidRDefault="001A1CDA" w:rsidP="001A1CDA">
      <w:pPr>
        <w:pStyle w:val="ListParagraph"/>
        <w:ind w:left="1418"/>
        <w:jc w:val="both"/>
        <w:rPr>
          <w:bCs/>
          <w:lang w:val="fr-FR"/>
        </w:rPr>
      </w:pPr>
    </w:p>
    <w:p w:rsidR="001A1CDA" w:rsidRPr="0030391F" w:rsidRDefault="001A1CDA" w:rsidP="001A1CDA">
      <w:pPr>
        <w:pStyle w:val="ListParagraph"/>
        <w:ind w:left="1418"/>
        <w:jc w:val="both"/>
        <w:rPr>
          <w:bCs/>
          <w:lang w:val="fr-FR"/>
        </w:rPr>
      </w:pPr>
    </w:p>
    <w:p w:rsidR="000505BD" w:rsidRPr="0030391F" w:rsidRDefault="00153B66" w:rsidP="0040109B">
      <w:pPr>
        <w:numPr>
          <w:ilvl w:val="0"/>
          <w:numId w:val="1"/>
        </w:numPr>
        <w:spacing w:before="120" w:after="120"/>
        <w:ind w:left="357"/>
        <w:jc w:val="both"/>
        <w:rPr>
          <w:bCs/>
          <w:i/>
        </w:rPr>
      </w:pPr>
      <w:r>
        <w:rPr>
          <w:b/>
          <w:bCs/>
        </w:rPr>
        <w:t>Dossiers</w:t>
      </w:r>
      <w:r w:rsidR="007853E9" w:rsidRPr="0030391F">
        <w:rPr>
          <w:b/>
          <w:bCs/>
        </w:rPr>
        <w:t xml:space="preserve"> et </w:t>
      </w:r>
      <w:proofErr w:type="spellStart"/>
      <w:r w:rsidR="007853E9" w:rsidRPr="0030391F">
        <w:rPr>
          <w:b/>
          <w:bCs/>
        </w:rPr>
        <w:t>formulaires</w:t>
      </w:r>
      <w:proofErr w:type="spellEnd"/>
    </w:p>
    <w:p w:rsidR="000505BD" w:rsidRPr="0030391F" w:rsidRDefault="007853E9" w:rsidP="0075057F">
      <w:pPr>
        <w:pStyle w:val="ListParagraph"/>
        <w:numPr>
          <w:ilvl w:val="1"/>
          <w:numId w:val="1"/>
        </w:numPr>
        <w:spacing w:before="120" w:after="120"/>
        <w:jc w:val="both"/>
        <w:rPr>
          <w:bCs/>
          <w:lang w:val="fr-FR"/>
        </w:rPr>
      </w:pPr>
      <w:r w:rsidRPr="0030391F">
        <w:rPr>
          <w:bCs/>
          <w:lang w:val="fr-FR"/>
        </w:rPr>
        <w:t>Les questionnaires médicaux doivent être retenus suivant la politique de rétention des documents</w:t>
      </w:r>
      <w:r w:rsidR="0040109B" w:rsidRPr="0030391F">
        <w:rPr>
          <w:bCs/>
          <w:lang w:val="fr-FR"/>
        </w:rPr>
        <w:t>.</w:t>
      </w:r>
    </w:p>
    <w:p w:rsidR="000505BD" w:rsidRPr="0030391F" w:rsidRDefault="000505BD" w:rsidP="0040109B">
      <w:pPr>
        <w:numPr>
          <w:ilvl w:val="0"/>
          <w:numId w:val="1"/>
        </w:numPr>
        <w:spacing w:before="120" w:after="120"/>
        <w:ind w:left="357"/>
        <w:jc w:val="both"/>
        <w:rPr>
          <w:b/>
          <w:bCs/>
        </w:rPr>
      </w:pPr>
      <w:r w:rsidRPr="0030391F">
        <w:rPr>
          <w:b/>
          <w:bCs/>
        </w:rPr>
        <w:t>References</w:t>
      </w:r>
    </w:p>
    <w:p w:rsidR="000505BD" w:rsidRPr="0030391F" w:rsidRDefault="00153B66" w:rsidP="0075057F">
      <w:pPr>
        <w:pStyle w:val="ListParagraph"/>
        <w:numPr>
          <w:ilvl w:val="1"/>
          <w:numId w:val="1"/>
        </w:numPr>
        <w:spacing w:before="120" w:after="120"/>
        <w:jc w:val="both"/>
        <w:rPr>
          <w:bCs/>
        </w:rPr>
      </w:pPr>
      <w:r>
        <w:rPr>
          <w:bCs/>
        </w:rPr>
        <w:t>Nul</w:t>
      </w:r>
      <w:r w:rsidR="0040109B" w:rsidRPr="0030391F">
        <w:rPr>
          <w:bCs/>
        </w:rPr>
        <w:t>l</w:t>
      </w:r>
    </w:p>
    <w:p w:rsidR="000505BD" w:rsidRPr="00153B66" w:rsidRDefault="00153B66" w:rsidP="0040109B">
      <w:pPr>
        <w:numPr>
          <w:ilvl w:val="0"/>
          <w:numId w:val="1"/>
        </w:numPr>
        <w:spacing w:before="120" w:after="120"/>
        <w:ind w:left="357"/>
        <w:jc w:val="both"/>
        <w:rPr>
          <w:b/>
          <w:bCs/>
          <w:lang w:val="fr-FR"/>
        </w:rPr>
      </w:pPr>
      <w:r w:rsidRPr="00153B66">
        <w:rPr>
          <w:b/>
          <w:bCs/>
          <w:lang w:val="fr-FR"/>
        </w:rPr>
        <w:t>Sommaire de révision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967"/>
        <w:gridCol w:w="2866"/>
        <w:gridCol w:w="2505"/>
      </w:tblGrid>
      <w:tr w:rsidR="0030391F" w:rsidRPr="0030391F" w:rsidTr="007853E9">
        <w:tc>
          <w:tcPr>
            <w:tcW w:w="1984" w:type="dxa"/>
            <w:vAlign w:val="center"/>
          </w:tcPr>
          <w:p w:rsidR="002615D5" w:rsidRPr="0030391F" w:rsidRDefault="007853E9" w:rsidP="007853E9">
            <w:pPr>
              <w:tabs>
                <w:tab w:val="left" w:pos="567"/>
              </w:tabs>
              <w:jc w:val="center"/>
              <w:rPr>
                <w:b/>
                <w:bCs/>
                <w:lang w:val="fr-FR"/>
              </w:rPr>
            </w:pPr>
            <w:r w:rsidRPr="0030391F">
              <w:rPr>
                <w:b/>
                <w:bCs/>
                <w:lang w:val="fr-FR"/>
              </w:rPr>
              <w:t>NUMERO DE REVISION</w:t>
            </w:r>
          </w:p>
        </w:tc>
        <w:tc>
          <w:tcPr>
            <w:tcW w:w="967" w:type="dxa"/>
            <w:vAlign w:val="center"/>
          </w:tcPr>
          <w:p w:rsidR="002615D5" w:rsidRPr="0030391F" w:rsidRDefault="002615D5" w:rsidP="002615D5">
            <w:pPr>
              <w:tabs>
                <w:tab w:val="left" w:pos="567"/>
              </w:tabs>
              <w:jc w:val="center"/>
              <w:rPr>
                <w:b/>
                <w:bCs/>
                <w:lang w:val="fr-FR"/>
              </w:rPr>
            </w:pPr>
            <w:r w:rsidRPr="0030391F">
              <w:rPr>
                <w:b/>
                <w:bCs/>
                <w:lang w:val="fr-FR"/>
              </w:rPr>
              <w:t>DATE</w:t>
            </w:r>
          </w:p>
        </w:tc>
        <w:tc>
          <w:tcPr>
            <w:tcW w:w="2866" w:type="dxa"/>
            <w:vAlign w:val="center"/>
          </w:tcPr>
          <w:p w:rsidR="002615D5" w:rsidRPr="0030391F" w:rsidRDefault="007853E9" w:rsidP="007853E9">
            <w:pPr>
              <w:tabs>
                <w:tab w:val="left" w:pos="567"/>
              </w:tabs>
              <w:jc w:val="center"/>
              <w:rPr>
                <w:b/>
                <w:bCs/>
                <w:lang w:val="fr-FR"/>
              </w:rPr>
            </w:pPr>
            <w:r w:rsidRPr="0030391F">
              <w:rPr>
                <w:b/>
                <w:bCs/>
                <w:lang w:val="fr-FR"/>
              </w:rPr>
              <w:t xml:space="preserve">DETAILS DE </w:t>
            </w:r>
            <w:r w:rsidR="002615D5" w:rsidRPr="0030391F">
              <w:rPr>
                <w:b/>
                <w:bCs/>
                <w:lang w:val="fr-FR"/>
              </w:rPr>
              <w:t xml:space="preserve">REVISION </w:t>
            </w:r>
          </w:p>
        </w:tc>
        <w:tc>
          <w:tcPr>
            <w:tcW w:w="2505" w:type="dxa"/>
            <w:vAlign w:val="center"/>
          </w:tcPr>
          <w:p w:rsidR="002615D5" w:rsidRPr="0030391F" w:rsidRDefault="002615D5" w:rsidP="007853E9">
            <w:pPr>
              <w:tabs>
                <w:tab w:val="left" w:pos="567"/>
              </w:tabs>
              <w:jc w:val="center"/>
              <w:rPr>
                <w:b/>
                <w:bCs/>
                <w:lang w:val="fr-FR"/>
              </w:rPr>
            </w:pPr>
            <w:r w:rsidRPr="0030391F">
              <w:rPr>
                <w:b/>
                <w:bCs/>
                <w:lang w:val="fr-FR"/>
              </w:rPr>
              <w:t>REASON</w:t>
            </w:r>
            <w:r w:rsidR="007853E9" w:rsidRPr="0030391F">
              <w:rPr>
                <w:b/>
                <w:bCs/>
                <w:lang w:val="fr-FR"/>
              </w:rPr>
              <w:t xml:space="preserve"> DE </w:t>
            </w:r>
            <w:r w:rsidRPr="0030391F">
              <w:rPr>
                <w:b/>
                <w:bCs/>
                <w:lang w:val="fr-FR"/>
              </w:rPr>
              <w:t xml:space="preserve"> REVISION</w:t>
            </w:r>
          </w:p>
        </w:tc>
      </w:tr>
      <w:tr w:rsidR="0030391F" w:rsidRPr="0030391F" w:rsidTr="007853E9">
        <w:tc>
          <w:tcPr>
            <w:tcW w:w="1984" w:type="dxa"/>
            <w:vAlign w:val="center"/>
          </w:tcPr>
          <w:p w:rsidR="002615D5" w:rsidRPr="0030391F" w:rsidRDefault="002615D5" w:rsidP="002615D5">
            <w:pPr>
              <w:tabs>
                <w:tab w:val="left" w:pos="567"/>
              </w:tabs>
              <w:jc w:val="center"/>
              <w:rPr>
                <w:bCs/>
                <w:lang w:val="fr-FR"/>
              </w:rPr>
            </w:pPr>
          </w:p>
        </w:tc>
        <w:tc>
          <w:tcPr>
            <w:tcW w:w="967" w:type="dxa"/>
            <w:vAlign w:val="center"/>
          </w:tcPr>
          <w:p w:rsidR="002615D5" w:rsidRPr="0030391F" w:rsidRDefault="002615D5" w:rsidP="002615D5">
            <w:pPr>
              <w:tabs>
                <w:tab w:val="left" w:pos="567"/>
              </w:tabs>
              <w:jc w:val="center"/>
              <w:rPr>
                <w:bCs/>
                <w:lang w:val="fr-FR"/>
              </w:rPr>
            </w:pPr>
          </w:p>
        </w:tc>
        <w:tc>
          <w:tcPr>
            <w:tcW w:w="2866" w:type="dxa"/>
            <w:vAlign w:val="center"/>
          </w:tcPr>
          <w:p w:rsidR="009A7FB9" w:rsidRPr="0030391F" w:rsidRDefault="009A7FB9" w:rsidP="00CB7436">
            <w:pPr>
              <w:tabs>
                <w:tab w:val="left" w:pos="567"/>
              </w:tabs>
              <w:ind w:left="575" w:hanging="575"/>
              <w:rPr>
                <w:bCs/>
                <w:lang w:val="fr-FR"/>
              </w:rPr>
            </w:pPr>
          </w:p>
        </w:tc>
        <w:tc>
          <w:tcPr>
            <w:tcW w:w="2505" w:type="dxa"/>
            <w:vAlign w:val="center"/>
          </w:tcPr>
          <w:p w:rsidR="002615D5" w:rsidRPr="0030391F" w:rsidRDefault="002615D5" w:rsidP="009A7FB9">
            <w:pPr>
              <w:tabs>
                <w:tab w:val="left" w:pos="567"/>
              </w:tabs>
              <w:rPr>
                <w:bCs/>
                <w:lang w:val="fr-FR"/>
              </w:rPr>
            </w:pPr>
          </w:p>
        </w:tc>
      </w:tr>
    </w:tbl>
    <w:p w:rsidR="002615D5" w:rsidRPr="0030391F" w:rsidRDefault="002615D5"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p w:rsidR="00DA6ABF" w:rsidRPr="0030391F" w:rsidRDefault="00DA6ABF" w:rsidP="00F014E3">
      <w:pPr>
        <w:jc w:val="both"/>
      </w:pPr>
    </w:p>
    <w:sectPr w:rsidR="00DA6ABF" w:rsidRPr="0030391F" w:rsidSect="004035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5E" w:rsidRDefault="002B005E">
      <w:r>
        <w:separator/>
      </w:r>
    </w:p>
  </w:endnote>
  <w:endnote w:type="continuationSeparator" w:id="0">
    <w:p w:rsidR="002B005E" w:rsidRDefault="002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5D" w:rsidRDefault="00264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5D" w:rsidRDefault="00264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5D" w:rsidRDefault="0026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5E" w:rsidRDefault="002B005E">
      <w:r>
        <w:separator/>
      </w:r>
    </w:p>
  </w:footnote>
  <w:footnote w:type="continuationSeparator" w:id="0">
    <w:p w:rsidR="002B005E" w:rsidRDefault="002B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5D" w:rsidRDefault="00264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Document Number:</w:t>
    </w:r>
    <w:r w:rsidR="000F3882" w:rsidRPr="000F3882">
      <w:rPr>
        <w:rFonts w:asciiTheme="minorHAnsi" w:hAnsiTheme="minorHAnsi"/>
        <w:sz w:val="22"/>
      </w:rPr>
      <w:t xml:space="preserve"> </w:t>
    </w:r>
    <w:r w:rsidR="000F3882">
      <w:rPr>
        <w:rFonts w:asciiTheme="minorHAnsi" w:hAnsiTheme="minorHAnsi"/>
        <w:sz w:val="22"/>
      </w:rPr>
      <w:t>SOP-2-1</w:t>
    </w:r>
    <w:r>
      <w:tab/>
    </w:r>
    <w:r>
      <w:tab/>
      <w:t xml:space="preserve">Page </w:t>
    </w:r>
    <w:r>
      <w:fldChar w:fldCharType="begin"/>
    </w:r>
    <w:r>
      <w:instrText xml:space="preserve"> PAGE </w:instrText>
    </w:r>
    <w:r>
      <w:fldChar w:fldCharType="separate"/>
    </w:r>
    <w:r w:rsidR="0026465D">
      <w:rPr>
        <w:noProof/>
      </w:rPr>
      <w:t>4</w:t>
    </w:r>
    <w:r>
      <w:fldChar w:fldCharType="end"/>
    </w:r>
    <w:r>
      <w:t xml:space="preserve"> of </w:t>
    </w:r>
    <w:r>
      <w:fldChar w:fldCharType="begin"/>
    </w:r>
    <w:r>
      <w:instrText xml:space="preserve"> NUMPAGES </w:instrText>
    </w:r>
    <w:r>
      <w:fldChar w:fldCharType="separate"/>
    </w:r>
    <w:r w:rsidR="0026465D">
      <w:rPr>
        <w:noProof/>
      </w:rPr>
      <w:t>4</w:t>
    </w:r>
    <w:r>
      <w:fldChar w:fldCharType="end"/>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Author             : Sign</w:t>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Approved        : Sign</w:t>
    </w:r>
  </w:p>
  <w:p w:rsidR="00027715" w:rsidRDefault="0002771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5" w:rsidRPr="001824BE" w:rsidRDefault="00027715"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lang w:val="fr-FR"/>
      </w:rPr>
    </w:pPr>
    <w:r w:rsidRPr="001824BE">
      <w:rPr>
        <w:rFonts w:asciiTheme="minorHAnsi" w:hAnsiTheme="minorHAnsi"/>
        <w:sz w:val="22"/>
        <w:lang w:val="fr-FR"/>
      </w:rPr>
      <w:t xml:space="preserve">Document </w:t>
    </w:r>
    <w:proofErr w:type="spellStart"/>
    <w:r w:rsidRPr="001824BE">
      <w:rPr>
        <w:rFonts w:asciiTheme="minorHAnsi" w:hAnsiTheme="minorHAnsi"/>
        <w:sz w:val="22"/>
        <w:lang w:val="fr-FR"/>
      </w:rPr>
      <w:t>Number</w:t>
    </w:r>
    <w:proofErr w:type="spellEnd"/>
    <w:r w:rsidRPr="001824BE">
      <w:rPr>
        <w:rFonts w:asciiTheme="minorHAnsi" w:hAnsiTheme="minorHAnsi"/>
        <w:sz w:val="22"/>
        <w:lang w:val="fr-FR"/>
      </w:rPr>
      <w:t xml:space="preserve">: </w:t>
    </w:r>
    <w:r w:rsidR="0026465D">
      <w:rPr>
        <w:rFonts w:asciiTheme="minorHAnsi" w:hAnsiTheme="minorHAnsi"/>
        <w:sz w:val="22"/>
        <w:lang w:val="fr-FR"/>
      </w:rPr>
      <w:t>SOP-02-0</w:t>
    </w:r>
    <w:bookmarkStart w:id="0" w:name="_GoBack"/>
    <w:bookmarkEnd w:id="0"/>
    <w:r w:rsidR="0040356D" w:rsidRPr="001824BE">
      <w:rPr>
        <w:rFonts w:asciiTheme="minorHAnsi" w:hAnsiTheme="minorHAnsi"/>
        <w:sz w:val="22"/>
        <w:lang w:val="fr-FR"/>
      </w:rPr>
      <w:tab/>
    </w:r>
    <w:r w:rsidRPr="001824BE">
      <w:rPr>
        <w:rFonts w:asciiTheme="minorHAnsi" w:hAnsiTheme="minorHAnsi"/>
        <w:sz w:val="22"/>
        <w:lang w:val="fr-FR"/>
      </w:rPr>
      <w:tab/>
      <w:t xml:space="preserve">Page </w:t>
    </w:r>
    <w:r w:rsidRPr="002328B2">
      <w:rPr>
        <w:rFonts w:asciiTheme="minorHAnsi" w:hAnsiTheme="minorHAnsi"/>
        <w:sz w:val="22"/>
      </w:rPr>
      <w:fldChar w:fldCharType="begin"/>
    </w:r>
    <w:r w:rsidRPr="001824BE">
      <w:rPr>
        <w:rFonts w:asciiTheme="minorHAnsi" w:hAnsiTheme="minorHAnsi"/>
        <w:sz w:val="22"/>
        <w:lang w:val="fr-FR"/>
      </w:rPr>
      <w:instrText xml:space="preserve"> PAGE </w:instrText>
    </w:r>
    <w:r w:rsidRPr="002328B2">
      <w:rPr>
        <w:rFonts w:asciiTheme="minorHAnsi" w:hAnsiTheme="minorHAnsi"/>
        <w:sz w:val="22"/>
      </w:rPr>
      <w:fldChar w:fldCharType="separate"/>
    </w:r>
    <w:r w:rsidR="0026465D">
      <w:rPr>
        <w:rFonts w:asciiTheme="minorHAnsi" w:hAnsiTheme="minorHAnsi"/>
        <w:noProof/>
        <w:sz w:val="22"/>
        <w:lang w:val="fr-FR"/>
      </w:rPr>
      <w:t>1</w:t>
    </w:r>
    <w:r w:rsidRPr="002328B2">
      <w:rPr>
        <w:rFonts w:asciiTheme="minorHAnsi" w:hAnsiTheme="minorHAnsi"/>
        <w:sz w:val="22"/>
      </w:rPr>
      <w:fldChar w:fldCharType="end"/>
    </w:r>
    <w:r w:rsidRPr="001824BE">
      <w:rPr>
        <w:rFonts w:asciiTheme="minorHAnsi" w:hAnsiTheme="minorHAnsi"/>
        <w:sz w:val="22"/>
        <w:lang w:val="fr-FR"/>
      </w:rPr>
      <w:t xml:space="preserve"> of </w:t>
    </w:r>
    <w:r w:rsidRPr="002328B2">
      <w:rPr>
        <w:rFonts w:asciiTheme="minorHAnsi" w:hAnsiTheme="minorHAnsi"/>
        <w:sz w:val="22"/>
      </w:rPr>
      <w:fldChar w:fldCharType="begin"/>
    </w:r>
    <w:r w:rsidRPr="001824BE">
      <w:rPr>
        <w:rFonts w:asciiTheme="minorHAnsi" w:hAnsiTheme="minorHAnsi"/>
        <w:sz w:val="22"/>
        <w:lang w:val="fr-FR"/>
      </w:rPr>
      <w:instrText xml:space="preserve"> NUMPAGES </w:instrText>
    </w:r>
    <w:r w:rsidRPr="002328B2">
      <w:rPr>
        <w:rFonts w:asciiTheme="minorHAnsi" w:hAnsiTheme="minorHAnsi"/>
        <w:sz w:val="22"/>
      </w:rPr>
      <w:fldChar w:fldCharType="separate"/>
    </w:r>
    <w:r w:rsidR="0026465D">
      <w:rPr>
        <w:rFonts w:asciiTheme="minorHAnsi" w:hAnsiTheme="minorHAnsi"/>
        <w:noProof/>
        <w:sz w:val="22"/>
        <w:lang w:val="fr-FR"/>
      </w:rPr>
      <w:t>4</w:t>
    </w:r>
    <w:r w:rsidRPr="002328B2">
      <w:rPr>
        <w:rFonts w:asciiTheme="minorHAnsi" w:hAnsiTheme="minorHAnsi"/>
        <w:sz w:val="22"/>
      </w:rPr>
      <w:fldChar w:fldCharType="end"/>
    </w:r>
  </w:p>
  <w:p w:rsidR="00921F19" w:rsidRDefault="00921F19" w:rsidP="00921F19">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Effective Date: E</w:t>
    </w:r>
    <w:r>
      <w:rPr>
        <w:i/>
        <w:lang w:val="fr-FR"/>
      </w:rPr>
      <w:t>ntrer la date que le mode opératoire sera en vigueur (Considérer le temps de formation)</w:t>
    </w:r>
  </w:p>
  <w:p w:rsidR="00921F19" w:rsidRDefault="00921F19" w:rsidP="00921F19">
    <w:pPr>
      <w:pStyle w:val="Header"/>
      <w:pBdr>
        <w:top w:val="single" w:sz="4" w:space="1" w:color="auto"/>
        <w:left w:val="single" w:sz="4" w:space="4" w:color="auto"/>
        <w:bottom w:val="single" w:sz="4" w:space="1" w:color="auto"/>
        <w:right w:val="single" w:sz="4" w:space="4" w:color="auto"/>
        <w:between w:val="single" w:sz="4" w:space="1" w:color="auto"/>
      </w:pBdr>
      <w:rPr>
        <w:lang w:val="fr-FR"/>
      </w:rPr>
    </w:pPr>
    <w:r>
      <w:rPr>
        <w:lang w:val="fr-FR"/>
      </w:rPr>
      <w:t>Auteur            : Nom</w:t>
    </w:r>
    <w:r>
      <w:rPr>
        <w:lang w:val="fr-FR"/>
      </w:rPr>
      <w:tab/>
    </w:r>
    <w:proofErr w:type="spellStart"/>
    <w:r>
      <w:rPr>
        <w:lang w:val="fr-FR"/>
      </w:rPr>
      <w:t>Sign</w:t>
    </w:r>
    <w:proofErr w:type="spellEnd"/>
  </w:p>
  <w:p w:rsidR="00027715" w:rsidRPr="001824BE" w:rsidRDefault="00921F19" w:rsidP="00921F19">
    <w:pPr>
      <w:pStyle w:val="Header"/>
      <w:pBdr>
        <w:top w:val="single" w:sz="4" w:space="1" w:color="auto"/>
        <w:left w:val="single" w:sz="4" w:space="4" w:color="auto"/>
        <w:bottom w:val="single" w:sz="4" w:space="1" w:color="auto"/>
        <w:right w:val="single" w:sz="4" w:space="4" w:color="auto"/>
      </w:pBdr>
      <w:rPr>
        <w:rFonts w:asciiTheme="minorHAnsi" w:hAnsiTheme="minorHAnsi"/>
        <w:sz w:val="22"/>
        <w:lang w:val="fr-FR"/>
      </w:rPr>
    </w:pPr>
    <w:proofErr w:type="spellStart"/>
    <w:r>
      <w:rPr>
        <w:lang w:val="fr-FR"/>
      </w:rPr>
      <w:t>Apprové</w:t>
    </w:r>
    <w:proofErr w:type="spellEnd"/>
    <w:r>
      <w:rPr>
        <w:lang w:val="fr-FR"/>
      </w:rPr>
      <w:t xml:space="preserve">         : Nom</w:t>
    </w:r>
    <w:r>
      <w:rPr>
        <w:lang w:val="fr-FR"/>
      </w:rPr>
      <w:tab/>
    </w:r>
    <w:proofErr w:type="spellStart"/>
    <w:r>
      <w:rPr>
        <w:lang w:val="fr-FR"/>
      </w:rPr>
      <w:t>Sign</w:t>
    </w:r>
    <w:proofErr w:type="spellEnd"/>
    <w:r w:rsidR="00027715" w:rsidRPr="001824BE">
      <w:rPr>
        <w:rFonts w:asciiTheme="minorHAnsi" w:hAnsiTheme="minorHAnsi"/>
        <w:sz w:val="22"/>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7DC"/>
    <w:multiLevelType w:val="multilevel"/>
    <w:tmpl w:val="42C25E24"/>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2422"/>
        </w:tabs>
        <w:ind w:left="2350"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7321BC"/>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C8101D0"/>
    <w:multiLevelType w:val="multilevel"/>
    <w:tmpl w:val="05723696"/>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5DC7426"/>
    <w:multiLevelType w:val="multilevel"/>
    <w:tmpl w:val="3194881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229AF"/>
    <w:rsid w:val="000264C3"/>
    <w:rsid w:val="00027715"/>
    <w:rsid w:val="00037968"/>
    <w:rsid w:val="0004020B"/>
    <w:rsid w:val="00042C5F"/>
    <w:rsid w:val="0004343E"/>
    <w:rsid w:val="00043C1B"/>
    <w:rsid w:val="000505BD"/>
    <w:rsid w:val="00072A88"/>
    <w:rsid w:val="000B63C3"/>
    <w:rsid w:val="000C2972"/>
    <w:rsid w:val="000E4CBD"/>
    <w:rsid w:val="000F04C2"/>
    <w:rsid w:val="000F3882"/>
    <w:rsid w:val="000F73C2"/>
    <w:rsid w:val="001026DF"/>
    <w:rsid w:val="00115F33"/>
    <w:rsid w:val="00117B19"/>
    <w:rsid w:val="00153B66"/>
    <w:rsid w:val="001654F3"/>
    <w:rsid w:val="001663EC"/>
    <w:rsid w:val="001679B1"/>
    <w:rsid w:val="0017115E"/>
    <w:rsid w:val="00180556"/>
    <w:rsid w:val="001824BE"/>
    <w:rsid w:val="00187636"/>
    <w:rsid w:val="001A1CDA"/>
    <w:rsid w:val="001A35BD"/>
    <w:rsid w:val="001A4ECD"/>
    <w:rsid w:val="001C260F"/>
    <w:rsid w:val="001F5578"/>
    <w:rsid w:val="00202A82"/>
    <w:rsid w:val="00205566"/>
    <w:rsid w:val="002328B2"/>
    <w:rsid w:val="002405B2"/>
    <w:rsid w:val="00243074"/>
    <w:rsid w:val="00243660"/>
    <w:rsid w:val="002538BA"/>
    <w:rsid w:val="002607A5"/>
    <w:rsid w:val="002615D5"/>
    <w:rsid w:val="0026465D"/>
    <w:rsid w:val="0026571A"/>
    <w:rsid w:val="00270C50"/>
    <w:rsid w:val="00273596"/>
    <w:rsid w:val="0029638E"/>
    <w:rsid w:val="002B005E"/>
    <w:rsid w:val="002D66DA"/>
    <w:rsid w:val="002E067F"/>
    <w:rsid w:val="0030391F"/>
    <w:rsid w:val="00303D35"/>
    <w:rsid w:val="00333578"/>
    <w:rsid w:val="0036168B"/>
    <w:rsid w:val="0037721E"/>
    <w:rsid w:val="003A2256"/>
    <w:rsid w:val="003B2E48"/>
    <w:rsid w:val="003C3E02"/>
    <w:rsid w:val="003C46D1"/>
    <w:rsid w:val="003F1A38"/>
    <w:rsid w:val="0040109B"/>
    <w:rsid w:val="0040356D"/>
    <w:rsid w:val="00460BB6"/>
    <w:rsid w:val="00491823"/>
    <w:rsid w:val="0049415F"/>
    <w:rsid w:val="004A2E9F"/>
    <w:rsid w:val="004F2A33"/>
    <w:rsid w:val="00500DFF"/>
    <w:rsid w:val="00521B0D"/>
    <w:rsid w:val="005806BE"/>
    <w:rsid w:val="00580AE6"/>
    <w:rsid w:val="00591BD8"/>
    <w:rsid w:val="005D6BA1"/>
    <w:rsid w:val="005F3ADD"/>
    <w:rsid w:val="00601545"/>
    <w:rsid w:val="00603655"/>
    <w:rsid w:val="00612E0A"/>
    <w:rsid w:val="00613765"/>
    <w:rsid w:val="00615D56"/>
    <w:rsid w:val="00641564"/>
    <w:rsid w:val="00660A44"/>
    <w:rsid w:val="00663B63"/>
    <w:rsid w:val="00692A28"/>
    <w:rsid w:val="006A5B20"/>
    <w:rsid w:val="006A5D36"/>
    <w:rsid w:val="006B051B"/>
    <w:rsid w:val="006C509C"/>
    <w:rsid w:val="006D1CE1"/>
    <w:rsid w:val="006E791A"/>
    <w:rsid w:val="006F7DF9"/>
    <w:rsid w:val="00713D13"/>
    <w:rsid w:val="00720226"/>
    <w:rsid w:val="00724A3D"/>
    <w:rsid w:val="0075057F"/>
    <w:rsid w:val="0076521B"/>
    <w:rsid w:val="00774348"/>
    <w:rsid w:val="007853E9"/>
    <w:rsid w:val="007B6EBA"/>
    <w:rsid w:val="007E013D"/>
    <w:rsid w:val="007F49B7"/>
    <w:rsid w:val="008061C0"/>
    <w:rsid w:val="00822711"/>
    <w:rsid w:val="00846B0A"/>
    <w:rsid w:val="00850B5B"/>
    <w:rsid w:val="00864A8C"/>
    <w:rsid w:val="00870F67"/>
    <w:rsid w:val="00877D4E"/>
    <w:rsid w:val="00890346"/>
    <w:rsid w:val="008937E7"/>
    <w:rsid w:val="008A43CD"/>
    <w:rsid w:val="008B3FEF"/>
    <w:rsid w:val="008C55D7"/>
    <w:rsid w:val="008D6578"/>
    <w:rsid w:val="008E5394"/>
    <w:rsid w:val="008F525B"/>
    <w:rsid w:val="00921F19"/>
    <w:rsid w:val="009244F8"/>
    <w:rsid w:val="00925C66"/>
    <w:rsid w:val="009311E8"/>
    <w:rsid w:val="00957F3B"/>
    <w:rsid w:val="009A4CEC"/>
    <w:rsid w:val="009A7FB9"/>
    <w:rsid w:val="009C60BC"/>
    <w:rsid w:val="009F1EB8"/>
    <w:rsid w:val="00A00128"/>
    <w:rsid w:val="00A00F42"/>
    <w:rsid w:val="00A246F1"/>
    <w:rsid w:val="00A50EEF"/>
    <w:rsid w:val="00A63CAE"/>
    <w:rsid w:val="00A733EF"/>
    <w:rsid w:val="00AC0322"/>
    <w:rsid w:val="00AE1869"/>
    <w:rsid w:val="00AE1C89"/>
    <w:rsid w:val="00AE6B6B"/>
    <w:rsid w:val="00AF2AF9"/>
    <w:rsid w:val="00AF5171"/>
    <w:rsid w:val="00B07047"/>
    <w:rsid w:val="00B07DBF"/>
    <w:rsid w:val="00B20813"/>
    <w:rsid w:val="00B236BC"/>
    <w:rsid w:val="00B240E3"/>
    <w:rsid w:val="00B26881"/>
    <w:rsid w:val="00B4331D"/>
    <w:rsid w:val="00B75CAB"/>
    <w:rsid w:val="00B93DDB"/>
    <w:rsid w:val="00BC3141"/>
    <w:rsid w:val="00BC3DEF"/>
    <w:rsid w:val="00BD66AF"/>
    <w:rsid w:val="00C250F3"/>
    <w:rsid w:val="00C304C4"/>
    <w:rsid w:val="00C325DB"/>
    <w:rsid w:val="00C3737C"/>
    <w:rsid w:val="00CB7436"/>
    <w:rsid w:val="00CC3804"/>
    <w:rsid w:val="00CE0A3A"/>
    <w:rsid w:val="00CE7366"/>
    <w:rsid w:val="00CF23C3"/>
    <w:rsid w:val="00CF795C"/>
    <w:rsid w:val="00D1028D"/>
    <w:rsid w:val="00D12705"/>
    <w:rsid w:val="00D14C48"/>
    <w:rsid w:val="00D30809"/>
    <w:rsid w:val="00D371BB"/>
    <w:rsid w:val="00D448BD"/>
    <w:rsid w:val="00D519E6"/>
    <w:rsid w:val="00D5472B"/>
    <w:rsid w:val="00D67D3C"/>
    <w:rsid w:val="00D75DB9"/>
    <w:rsid w:val="00D84B42"/>
    <w:rsid w:val="00DA24E8"/>
    <w:rsid w:val="00DA6ABF"/>
    <w:rsid w:val="00E0623A"/>
    <w:rsid w:val="00E332AE"/>
    <w:rsid w:val="00E43EC1"/>
    <w:rsid w:val="00E9125A"/>
    <w:rsid w:val="00E947A9"/>
    <w:rsid w:val="00EA140F"/>
    <w:rsid w:val="00ED7A90"/>
    <w:rsid w:val="00EE1373"/>
    <w:rsid w:val="00F014E3"/>
    <w:rsid w:val="00F11471"/>
    <w:rsid w:val="00F231BF"/>
    <w:rsid w:val="00FA6FDD"/>
    <w:rsid w:val="00FB20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591BD8"/>
    <w:rPr>
      <w:rFonts w:ascii="Tahoma" w:hAnsi="Tahoma" w:cs="Tahoma"/>
      <w:sz w:val="16"/>
      <w:szCs w:val="16"/>
    </w:rPr>
  </w:style>
  <w:style w:type="character" w:customStyle="1" w:styleId="BalloonTextChar">
    <w:name w:val="Balloon Text Char"/>
    <w:link w:val="BalloonText"/>
    <w:uiPriority w:val="99"/>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5D6BA1"/>
    <w:pPr>
      <w:autoSpaceDE w:val="0"/>
      <w:autoSpaceDN w:val="0"/>
      <w:adjustRightInd w:val="0"/>
    </w:pPr>
    <w:rPr>
      <w:rFonts w:ascii="Arial" w:eastAsia="Calibri" w:hAnsi="Arial" w:cs="Arial"/>
      <w:color w:val="000000"/>
      <w:sz w:val="24"/>
      <w:szCs w:val="24"/>
      <w:lang w:val="en-US" w:eastAsia="en-US"/>
    </w:rPr>
  </w:style>
  <w:style w:type="paragraph" w:customStyle="1" w:styleId="TableTextBullet">
    <w:name w:val="Table Text Bullet"/>
    <w:rsid w:val="004A2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30" w:line="216" w:lineRule="atLeast"/>
      <w:ind w:left="240" w:hanging="240"/>
    </w:pPr>
    <w:rPr>
      <w:rFonts w:ascii="Utopia" w:hAnsi="Utopia" w:cs="Utopia"/>
      <w:sz w:val="18"/>
      <w:szCs w:val="18"/>
      <w:lang w:val="en-US" w:eastAsia="en-US"/>
    </w:rPr>
  </w:style>
  <w:style w:type="character" w:customStyle="1" w:styleId="HeaderChar">
    <w:name w:val="Header Char"/>
    <w:basedOn w:val="DefaultParagraphFont"/>
    <w:link w:val="Header"/>
    <w:rsid w:val="00921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591BD8"/>
    <w:rPr>
      <w:rFonts w:ascii="Tahoma" w:hAnsi="Tahoma" w:cs="Tahoma"/>
      <w:sz w:val="16"/>
      <w:szCs w:val="16"/>
    </w:rPr>
  </w:style>
  <w:style w:type="character" w:customStyle="1" w:styleId="BalloonTextChar">
    <w:name w:val="Balloon Text Char"/>
    <w:link w:val="BalloonText"/>
    <w:uiPriority w:val="99"/>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5D6BA1"/>
    <w:pPr>
      <w:autoSpaceDE w:val="0"/>
      <w:autoSpaceDN w:val="0"/>
      <w:adjustRightInd w:val="0"/>
    </w:pPr>
    <w:rPr>
      <w:rFonts w:ascii="Arial" w:eastAsia="Calibri" w:hAnsi="Arial" w:cs="Arial"/>
      <w:color w:val="000000"/>
      <w:sz w:val="24"/>
      <w:szCs w:val="24"/>
      <w:lang w:val="en-US" w:eastAsia="en-US"/>
    </w:rPr>
  </w:style>
  <w:style w:type="paragraph" w:customStyle="1" w:styleId="TableTextBullet">
    <w:name w:val="Table Text Bullet"/>
    <w:rsid w:val="004A2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after="30" w:line="216" w:lineRule="atLeast"/>
      <w:ind w:left="240" w:hanging="240"/>
    </w:pPr>
    <w:rPr>
      <w:rFonts w:ascii="Utopia" w:hAnsi="Utopia" w:cs="Utopia"/>
      <w:sz w:val="18"/>
      <w:szCs w:val="18"/>
      <w:lang w:val="en-US" w:eastAsia="en-US"/>
    </w:rPr>
  </w:style>
  <w:style w:type="character" w:customStyle="1" w:styleId="HeaderChar">
    <w:name w:val="Header Char"/>
    <w:basedOn w:val="DefaultParagraphFont"/>
    <w:link w:val="Header"/>
    <w:rsid w:val="00921F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 w:id="18189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7</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BLOOD TRANSFUSION SERVICE OF NAMIBIA</vt:lpstr>
    </vt:vector>
  </TitlesOfParts>
  <Company>Private</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TRANSFUSION SERVICE OF NAMIBIA</dc:title>
  <dc:creator>bts</dc:creator>
  <cp:lastModifiedBy>user</cp:lastModifiedBy>
  <cp:revision>12</cp:revision>
  <cp:lastPrinted>2012-03-02T08:13:00Z</cp:lastPrinted>
  <dcterms:created xsi:type="dcterms:W3CDTF">2015-10-03T13:27:00Z</dcterms:created>
  <dcterms:modified xsi:type="dcterms:W3CDTF">2016-04-10T08:29:00Z</dcterms:modified>
</cp:coreProperties>
</file>