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2607A5" w:rsidRDefault="000F73C2">
      <w:pPr>
        <w:pStyle w:val="Heading1"/>
      </w:pPr>
    </w:p>
    <w:p w:rsidR="006F7DF9" w:rsidRPr="002607A5" w:rsidRDefault="006F7DF9">
      <w:pPr>
        <w:jc w:val="center"/>
        <w:rPr>
          <w:b/>
          <w:bCs/>
        </w:rPr>
      </w:pPr>
      <w:r w:rsidRPr="002607A5">
        <w:rPr>
          <w:b/>
          <w:bCs/>
        </w:rPr>
        <w:t>STANDARD OPERATING PROCEDURE</w:t>
      </w:r>
    </w:p>
    <w:p w:rsidR="00037968" w:rsidRPr="002607A5" w:rsidRDefault="00580AE6" w:rsidP="0040356D">
      <w:pPr>
        <w:spacing w:before="240" w:after="240"/>
        <w:jc w:val="center"/>
        <w:rPr>
          <w:b/>
        </w:rPr>
      </w:pPr>
      <w:r w:rsidRPr="002607A5">
        <w:rPr>
          <w:b/>
        </w:rPr>
        <w:t>Guidelines for Acceptance &amp; Deferral of Blood Donors</w:t>
      </w:r>
    </w:p>
    <w:p w:rsidR="00B4331D" w:rsidRDefault="00037968" w:rsidP="00877D4E">
      <w:pPr>
        <w:pBdr>
          <w:top w:val="single" w:sz="4" w:space="1" w:color="auto"/>
          <w:left w:val="single" w:sz="4" w:space="4" w:color="auto"/>
          <w:bottom w:val="single" w:sz="4" w:space="1" w:color="auto"/>
          <w:right w:val="single" w:sz="4" w:space="4" w:color="auto"/>
        </w:pBdr>
        <w:spacing w:before="240" w:after="240"/>
        <w:jc w:val="center"/>
        <w:rPr>
          <w:b/>
        </w:rPr>
      </w:pPr>
      <w:r w:rsidRPr="002607A5">
        <w:rPr>
          <w:b/>
        </w:rPr>
        <w:t>Note</w:t>
      </w:r>
      <w:r w:rsidR="002607A5" w:rsidRPr="002607A5">
        <w:rPr>
          <w:b/>
        </w:rPr>
        <w:t>s</w:t>
      </w:r>
    </w:p>
    <w:p w:rsidR="00037968" w:rsidRDefault="00877D4E" w:rsidP="00877D4E">
      <w:pPr>
        <w:pBdr>
          <w:top w:val="single" w:sz="4" w:space="1" w:color="auto"/>
          <w:left w:val="single" w:sz="4" w:space="4" w:color="auto"/>
          <w:bottom w:val="single" w:sz="4" w:space="1" w:color="auto"/>
          <w:right w:val="single" w:sz="4" w:space="4" w:color="auto"/>
        </w:pBdr>
        <w:jc w:val="both"/>
      </w:pPr>
      <w:r>
        <w:t>Guidelines for the acceptance of donors may vary from those described in this procedure if there are National Guidelines covering the deferral periods.</w:t>
      </w:r>
    </w:p>
    <w:p w:rsidR="00877D4E" w:rsidRPr="0040356D" w:rsidRDefault="00877D4E" w:rsidP="0040356D">
      <w:pPr>
        <w:pBdr>
          <w:top w:val="single" w:sz="4" w:space="1" w:color="auto"/>
          <w:left w:val="single" w:sz="4" w:space="4" w:color="auto"/>
          <w:bottom w:val="single" w:sz="4" w:space="1" w:color="auto"/>
          <w:right w:val="single" w:sz="4" w:space="4" w:color="auto"/>
        </w:pBdr>
        <w:spacing w:before="120" w:after="120"/>
        <w:jc w:val="both"/>
        <w:rPr>
          <w:bCs/>
        </w:rPr>
      </w:pPr>
      <w:r w:rsidRPr="00877D4E">
        <w:rPr>
          <w:bCs/>
        </w:rPr>
        <w:t>This procedure must be adapted to conform to local requirements and to the test systems, reagents and equipment that are available to each organization.</w:t>
      </w:r>
    </w:p>
    <w:p w:rsidR="006F7DF9" w:rsidRPr="002607A5" w:rsidRDefault="006F7DF9" w:rsidP="000505BD">
      <w:pPr>
        <w:numPr>
          <w:ilvl w:val="0"/>
          <w:numId w:val="1"/>
        </w:numPr>
        <w:spacing w:before="120" w:after="120"/>
        <w:ind w:left="357"/>
        <w:jc w:val="both"/>
        <w:rPr>
          <w:b/>
          <w:bCs/>
        </w:rPr>
      </w:pPr>
      <w:r w:rsidRPr="002607A5">
        <w:rPr>
          <w:b/>
          <w:bCs/>
        </w:rPr>
        <w:t>Introduction</w:t>
      </w:r>
    </w:p>
    <w:p w:rsidR="002607A5" w:rsidRPr="002607A5" w:rsidRDefault="002607A5" w:rsidP="002607A5">
      <w:pPr>
        <w:spacing w:before="120" w:after="120"/>
        <w:ind w:left="357"/>
        <w:jc w:val="both"/>
      </w:pPr>
      <w:r w:rsidRPr="002607A5">
        <w:t xml:space="preserve">The Africa Society for Blood Transfusion Step-Wise Accreditation Standards requires that each facility develop donor selection criteria that are based on the </w:t>
      </w:r>
      <w:r w:rsidRPr="002607A5">
        <w:rPr>
          <w:iCs/>
        </w:rPr>
        <w:t>Standards</w:t>
      </w:r>
      <w:r w:rsidRPr="002607A5">
        <w:t>, national laws and regulations, if applicable, and local epidemiological data of infectious diseases, risk behaviour and local customs that may have an effect on the safety of the donor or recipient. Donor screening must include an interview with the donor to determine their suitability for donation.</w:t>
      </w:r>
    </w:p>
    <w:p w:rsidR="002607A5" w:rsidRPr="002607A5" w:rsidRDefault="002607A5" w:rsidP="002607A5">
      <w:pPr>
        <w:ind w:left="360"/>
        <w:jc w:val="both"/>
      </w:pPr>
      <w:r w:rsidRPr="002607A5">
        <w:t xml:space="preserve">Donor selection is an important </w:t>
      </w:r>
      <w:r w:rsidR="00603655">
        <w:t>p</w:t>
      </w:r>
      <w:r w:rsidRPr="002607A5">
        <w:t xml:space="preserve">art of ensuring a safe blood supply, and the process must be conducted with due care, even in a busy blood donor clinic. The procedure </w:t>
      </w:r>
      <w:r w:rsidR="00603655">
        <w:t xml:space="preserve">should not be </w:t>
      </w:r>
      <w:r w:rsidRPr="002607A5">
        <w:t>rushed as errors made during the selection process may remain undetected and may affect the safety of the blood collected.</w:t>
      </w:r>
    </w:p>
    <w:p w:rsidR="006F7DF9" w:rsidRPr="002607A5" w:rsidRDefault="000505BD" w:rsidP="000505BD">
      <w:pPr>
        <w:numPr>
          <w:ilvl w:val="0"/>
          <w:numId w:val="1"/>
        </w:numPr>
        <w:spacing w:before="120" w:after="120"/>
        <w:ind w:left="357"/>
        <w:jc w:val="both"/>
        <w:rPr>
          <w:b/>
          <w:bCs/>
        </w:rPr>
      </w:pPr>
      <w:r w:rsidRPr="002607A5">
        <w:rPr>
          <w:b/>
          <w:bCs/>
        </w:rPr>
        <w:t xml:space="preserve">Purpose and </w:t>
      </w:r>
      <w:r w:rsidR="006F7DF9" w:rsidRPr="002607A5">
        <w:rPr>
          <w:b/>
          <w:bCs/>
        </w:rPr>
        <w:t>Scope</w:t>
      </w:r>
    </w:p>
    <w:p w:rsidR="002615D5" w:rsidRPr="002607A5" w:rsidRDefault="005D6BA1" w:rsidP="002615D5">
      <w:pPr>
        <w:ind w:left="360"/>
        <w:jc w:val="both"/>
      </w:pPr>
      <w:r>
        <w:t xml:space="preserve">This procedure is to be used by authorized personnel in the blood donor clinic when reviewing a prospective donor’s medical history </w:t>
      </w:r>
      <w:r w:rsidR="00603655">
        <w:t xml:space="preserve">in order </w:t>
      </w:r>
      <w:r>
        <w:t>to determine his/her suitability for blood donation at that time.</w:t>
      </w:r>
    </w:p>
    <w:p w:rsidR="00E9125A" w:rsidRPr="002607A5" w:rsidRDefault="0040356D" w:rsidP="000505BD">
      <w:pPr>
        <w:numPr>
          <w:ilvl w:val="0"/>
          <w:numId w:val="1"/>
        </w:numPr>
        <w:spacing w:before="120" w:after="120"/>
        <w:ind w:left="357"/>
        <w:jc w:val="both"/>
        <w:rPr>
          <w:b/>
          <w:bCs/>
        </w:rPr>
      </w:pPr>
      <w:r>
        <w:rPr>
          <w:b/>
          <w:bCs/>
        </w:rPr>
        <w:t xml:space="preserve">Acronyms and </w:t>
      </w:r>
      <w:r w:rsidR="00E9125A" w:rsidRPr="002607A5">
        <w:rPr>
          <w:b/>
          <w:bCs/>
        </w:rPr>
        <w:t>Definitions</w:t>
      </w:r>
    </w:p>
    <w:p w:rsidR="00E9125A" w:rsidRPr="00615D56" w:rsidRDefault="00615D56" w:rsidP="00E9125A">
      <w:pPr>
        <w:spacing w:before="120" w:after="120"/>
        <w:ind w:left="357"/>
        <w:jc w:val="both"/>
        <w:rPr>
          <w:bCs/>
        </w:rPr>
      </w:pPr>
      <w:r>
        <w:rPr>
          <w:bCs/>
        </w:rPr>
        <w:t>Nil</w:t>
      </w:r>
    </w:p>
    <w:p w:rsidR="006F7DF9" w:rsidRDefault="000505BD" w:rsidP="000505BD">
      <w:pPr>
        <w:numPr>
          <w:ilvl w:val="0"/>
          <w:numId w:val="1"/>
        </w:numPr>
        <w:spacing w:before="120" w:after="120"/>
        <w:ind w:left="357"/>
        <w:jc w:val="both"/>
        <w:rPr>
          <w:b/>
          <w:bCs/>
        </w:rPr>
      </w:pPr>
      <w:r w:rsidRPr="002607A5">
        <w:rPr>
          <w:b/>
          <w:bCs/>
        </w:rPr>
        <w:t>Materials and equipment required</w:t>
      </w:r>
    </w:p>
    <w:p w:rsidR="00615D56" w:rsidRPr="00615D56" w:rsidRDefault="00615D56" w:rsidP="00615D56">
      <w:pPr>
        <w:numPr>
          <w:ilvl w:val="1"/>
          <w:numId w:val="1"/>
        </w:numPr>
        <w:spacing w:before="120" w:after="120"/>
        <w:jc w:val="both"/>
        <w:rPr>
          <w:bCs/>
        </w:rPr>
      </w:pPr>
      <w:r w:rsidRPr="00615D56">
        <w:rPr>
          <w:bCs/>
        </w:rPr>
        <w:t xml:space="preserve">Donor’s completed Medical </w:t>
      </w:r>
      <w:r>
        <w:rPr>
          <w:bCs/>
        </w:rPr>
        <w:t>H</w:t>
      </w:r>
      <w:r w:rsidRPr="00615D56">
        <w:rPr>
          <w:bCs/>
        </w:rPr>
        <w:t xml:space="preserve">istory </w:t>
      </w:r>
      <w:r>
        <w:rPr>
          <w:bCs/>
        </w:rPr>
        <w:t>F</w:t>
      </w:r>
      <w:r w:rsidRPr="00615D56">
        <w:rPr>
          <w:bCs/>
        </w:rPr>
        <w:t>orm.</w:t>
      </w:r>
    </w:p>
    <w:p w:rsidR="000505BD" w:rsidRPr="005D6BA1" w:rsidRDefault="000505BD" w:rsidP="002328B2">
      <w:pPr>
        <w:pStyle w:val="ListParagraph"/>
        <w:numPr>
          <w:ilvl w:val="0"/>
          <w:numId w:val="1"/>
        </w:numPr>
        <w:spacing w:before="120" w:after="120"/>
        <w:jc w:val="both"/>
        <w:rPr>
          <w:bCs/>
          <w:i/>
        </w:rPr>
      </w:pPr>
      <w:r w:rsidRPr="002607A5">
        <w:rPr>
          <w:b/>
          <w:bCs/>
        </w:rPr>
        <w:t>Safety</w:t>
      </w:r>
    </w:p>
    <w:p w:rsidR="005D6BA1" w:rsidRPr="003F73E8" w:rsidRDefault="005D6BA1" w:rsidP="005D6BA1">
      <w:pPr>
        <w:ind w:left="360"/>
        <w:jc w:val="both"/>
        <w:rPr>
          <w:bCs/>
        </w:rPr>
      </w:pPr>
      <w:r w:rsidRPr="005D6BA1">
        <w:t>There</w:t>
      </w:r>
      <w:r>
        <w:rPr>
          <w:bCs/>
        </w:rPr>
        <w:t xml:space="preserve"> are no significant safety concerns associated with this procedure.</w:t>
      </w:r>
    </w:p>
    <w:p w:rsidR="000505BD" w:rsidRPr="002607A5" w:rsidRDefault="000505BD" w:rsidP="000505BD">
      <w:pPr>
        <w:numPr>
          <w:ilvl w:val="0"/>
          <w:numId w:val="1"/>
        </w:numPr>
        <w:spacing w:before="120" w:after="120"/>
        <w:ind w:left="357"/>
        <w:jc w:val="both"/>
        <w:rPr>
          <w:bCs/>
          <w:i/>
        </w:rPr>
      </w:pPr>
      <w:r w:rsidRPr="002607A5">
        <w:rPr>
          <w:b/>
          <w:bCs/>
        </w:rPr>
        <w:t>Responsible</w:t>
      </w:r>
    </w:p>
    <w:p w:rsidR="005D6BA1" w:rsidRPr="005D6BA1" w:rsidRDefault="005D6BA1" w:rsidP="005D6BA1">
      <w:pPr>
        <w:ind w:left="360"/>
        <w:jc w:val="both"/>
        <w:rPr>
          <w:bCs/>
        </w:rPr>
      </w:pPr>
      <w:r w:rsidRPr="005D6BA1">
        <w:rPr>
          <w:bCs/>
        </w:rPr>
        <w:t xml:space="preserve">Authorised personnel </w:t>
      </w:r>
      <w:r>
        <w:rPr>
          <w:bCs/>
        </w:rPr>
        <w:t xml:space="preserve">in the blood donor clinic who are </w:t>
      </w:r>
      <w:r w:rsidRPr="005D6BA1">
        <w:rPr>
          <w:bCs/>
        </w:rPr>
        <w:t xml:space="preserve">assigned to </w:t>
      </w:r>
      <w:r>
        <w:rPr>
          <w:bCs/>
        </w:rPr>
        <w:t>donor selection</w:t>
      </w:r>
      <w:r w:rsidRPr="005D6BA1">
        <w:rPr>
          <w:bCs/>
        </w:rPr>
        <w:t xml:space="preserve"> are responsible for all the activities described in this procedure</w:t>
      </w:r>
      <w:r w:rsidRPr="005D6BA1">
        <w:rPr>
          <w:bCs/>
          <w:i/>
        </w:rPr>
        <w:t>.</w:t>
      </w:r>
    </w:p>
    <w:p w:rsidR="000505BD" w:rsidRPr="002607A5" w:rsidRDefault="000505BD" w:rsidP="000505BD">
      <w:pPr>
        <w:numPr>
          <w:ilvl w:val="0"/>
          <w:numId w:val="1"/>
        </w:numPr>
        <w:spacing w:before="120" w:after="120"/>
        <w:ind w:left="357"/>
        <w:jc w:val="both"/>
        <w:rPr>
          <w:b/>
          <w:bCs/>
        </w:rPr>
      </w:pPr>
      <w:r w:rsidRPr="002607A5">
        <w:rPr>
          <w:b/>
          <w:bCs/>
        </w:rPr>
        <w:t>Procedure</w:t>
      </w:r>
    </w:p>
    <w:p w:rsidR="000505BD" w:rsidRDefault="005D6BA1" w:rsidP="0040356D">
      <w:pPr>
        <w:pStyle w:val="ListParagraph"/>
        <w:numPr>
          <w:ilvl w:val="1"/>
          <w:numId w:val="1"/>
        </w:numPr>
        <w:spacing w:before="120" w:after="120"/>
        <w:ind w:left="862" w:hanging="505"/>
        <w:contextualSpacing w:val="0"/>
        <w:jc w:val="both"/>
        <w:rPr>
          <w:bCs/>
        </w:rPr>
      </w:pPr>
      <w:r>
        <w:rPr>
          <w:bCs/>
        </w:rPr>
        <w:t xml:space="preserve">Confirm the identity of the person whose medical history you are reviewing by asking him/her to tell you his/her name and date of birth and compare this with the details recorded on the Medical History </w:t>
      </w:r>
      <w:r w:rsidR="00603655">
        <w:rPr>
          <w:bCs/>
        </w:rPr>
        <w:t>F</w:t>
      </w:r>
      <w:r>
        <w:rPr>
          <w:bCs/>
        </w:rPr>
        <w:t>orm. Any discrepancy must be resolved before proceeding.</w:t>
      </w:r>
    </w:p>
    <w:p w:rsidR="005D6BA1" w:rsidRDefault="005D6BA1" w:rsidP="0040356D">
      <w:pPr>
        <w:pStyle w:val="ListParagraph"/>
        <w:numPr>
          <w:ilvl w:val="1"/>
          <w:numId w:val="1"/>
        </w:numPr>
        <w:spacing w:before="120" w:after="120"/>
        <w:ind w:left="862" w:hanging="505"/>
        <w:contextualSpacing w:val="0"/>
        <w:jc w:val="both"/>
        <w:rPr>
          <w:bCs/>
        </w:rPr>
      </w:pPr>
      <w:r>
        <w:rPr>
          <w:bCs/>
        </w:rPr>
        <w:t>Check the following:</w:t>
      </w:r>
    </w:p>
    <w:p w:rsidR="005D6BA1" w:rsidRDefault="005D6BA1" w:rsidP="0040356D">
      <w:pPr>
        <w:pStyle w:val="ListParagraph"/>
        <w:numPr>
          <w:ilvl w:val="2"/>
          <w:numId w:val="1"/>
        </w:numPr>
        <w:spacing w:before="120" w:after="120"/>
        <w:ind w:left="1417" w:hanging="697"/>
        <w:jc w:val="both"/>
        <w:rPr>
          <w:bCs/>
        </w:rPr>
      </w:pPr>
      <w:r w:rsidRPr="005D6BA1">
        <w:rPr>
          <w:b/>
          <w:bCs/>
        </w:rPr>
        <w:lastRenderedPageBreak/>
        <w:t>Age</w:t>
      </w:r>
      <w:r>
        <w:rPr>
          <w:bCs/>
        </w:rPr>
        <w:t>: Donors must be between the ages of 16 (i.e</w:t>
      </w:r>
      <w:r w:rsidR="00027715">
        <w:rPr>
          <w:bCs/>
        </w:rPr>
        <w:t>.</w:t>
      </w:r>
      <w:r>
        <w:rPr>
          <w:bCs/>
        </w:rPr>
        <w:t xml:space="preserve"> they must have reached their 16</w:t>
      </w:r>
      <w:r w:rsidRPr="005D6BA1">
        <w:rPr>
          <w:bCs/>
          <w:vertAlign w:val="superscript"/>
        </w:rPr>
        <w:t>th</w:t>
      </w:r>
      <w:r>
        <w:rPr>
          <w:bCs/>
        </w:rPr>
        <w:t xml:space="preserve"> birthday) and 65 (i.e. they must not yet have reached their 66</w:t>
      </w:r>
      <w:r w:rsidRPr="005D6BA1">
        <w:rPr>
          <w:bCs/>
          <w:vertAlign w:val="superscript"/>
        </w:rPr>
        <w:t>th</w:t>
      </w:r>
      <w:r>
        <w:rPr>
          <w:bCs/>
        </w:rPr>
        <w:t xml:space="preserve"> birthday).</w:t>
      </w:r>
    </w:p>
    <w:p w:rsidR="0037721E" w:rsidRDefault="005D6BA1" w:rsidP="0040356D">
      <w:pPr>
        <w:numPr>
          <w:ilvl w:val="2"/>
          <w:numId w:val="1"/>
        </w:numPr>
        <w:spacing w:before="120" w:after="120"/>
        <w:ind w:left="1417" w:hanging="697"/>
        <w:contextualSpacing/>
        <w:jc w:val="both"/>
        <w:rPr>
          <w:bCs/>
        </w:rPr>
      </w:pPr>
      <w:r w:rsidRPr="005D6BA1">
        <w:rPr>
          <w:b/>
          <w:bCs/>
        </w:rPr>
        <w:t>Weight</w:t>
      </w:r>
      <w:r>
        <w:rPr>
          <w:bCs/>
        </w:rPr>
        <w:t xml:space="preserve">: Donors must weigh more than 50 kg. </w:t>
      </w:r>
      <w:r w:rsidR="0037721E">
        <w:rPr>
          <w:bCs/>
        </w:rPr>
        <w:t>Unexplained weight loss of more than 10% of the donor’s body weight within a period of eight weeks is a reason for deferral.</w:t>
      </w:r>
    </w:p>
    <w:p w:rsidR="005D6BA1" w:rsidRDefault="005D6BA1" w:rsidP="0040356D">
      <w:pPr>
        <w:pStyle w:val="ListParagraph"/>
        <w:numPr>
          <w:ilvl w:val="2"/>
          <w:numId w:val="1"/>
        </w:numPr>
        <w:spacing w:before="120" w:after="120"/>
        <w:ind w:left="1417" w:hanging="697"/>
        <w:jc w:val="both"/>
        <w:rPr>
          <w:bCs/>
        </w:rPr>
      </w:pPr>
      <w:r>
        <w:rPr>
          <w:b/>
          <w:bCs/>
        </w:rPr>
        <w:t>Donation interval</w:t>
      </w:r>
      <w:r w:rsidRPr="005D6BA1">
        <w:rPr>
          <w:bCs/>
        </w:rPr>
        <w:t>:</w:t>
      </w:r>
      <w:r>
        <w:rPr>
          <w:bCs/>
        </w:rPr>
        <w:t xml:space="preserve"> </w:t>
      </w:r>
    </w:p>
    <w:p w:rsidR="005D6BA1" w:rsidRDefault="005D6BA1" w:rsidP="00603655">
      <w:pPr>
        <w:pStyle w:val="ListParagraph"/>
        <w:numPr>
          <w:ilvl w:val="3"/>
          <w:numId w:val="1"/>
        </w:numPr>
        <w:spacing w:before="120" w:after="120"/>
        <w:ind w:left="1814" w:hanging="737"/>
        <w:jc w:val="both"/>
        <w:rPr>
          <w:bCs/>
        </w:rPr>
      </w:pPr>
      <w:r>
        <w:rPr>
          <w:bCs/>
        </w:rPr>
        <w:t>For whole blood donation, a minimum of 56 days must have elapsed since the last donation.</w:t>
      </w:r>
    </w:p>
    <w:p w:rsidR="005D6BA1" w:rsidRDefault="005D6BA1" w:rsidP="00603655">
      <w:pPr>
        <w:pStyle w:val="ListParagraph"/>
        <w:numPr>
          <w:ilvl w:val="3"/>
          <w:numId w:val="1"/>
        </w:numPr>
        <w:spacing w:before="120" w:after="120"/>
        <w:ind w:left="1814" w:hanging="737"/>
        <w:jc w:val="both"/>
        <w:rPr>
          <w:bCs/>
        </w:rPr>
      </w:pPr>
      <w:r>
        <w:rPr>
          <w:bCs/>
        </w:rPr>
        <w:t xml:space="preserve">For </w:t>
      </w:r>
      <w:r w:rsidR="00333578">
        <w:rPr>
          <w:bCs/>
        </w:rPr>
        <w:t>apheresis donations a minimum of 48 hours must have elapsed since the last donation, and a maximum of 24 procedures may be performed in any 12 month period.</w:t>
      </w:r>
    </w:p>
    <w:p w:rsidR="00333578" w:rsidRDefault="00333578" w:rsidP="00333578">
      <w:pPr>
        <w:pStyle w:val="ListParagraph"/>
        <w:numPr>
          <w:ilvl w:val="2"/>
          <w:numId w:val="1"/>
        </w:numPr>
        <w:spacing w:before="120" w:after="120"/>
        <w:jc w:val="both"/>
        <w:rPr>
          <w:bCs/>
        </w:rPr>
      </w:pPr>
      <w:r w:rsidRPr="00333578">
        <w:rPr>
          <w:b/>
          <w:bCs/>
        </w:rPr>
        <w:t>Blood pressure</w:t>
      </w:r>
      <w:r>
        <w:rPr>
          <w:bCs/>
        </w:rPr>
        <w:t>: The donor’s blood pressure must not be higher than 180/</w:t>
      </w:r>
      <w:r w:rsidRPr="0075057F">
        <w:t>100</w:t>
      </w:r>
      <w:r w:rsidR="0075057F">
        <w:t> </w:t>
      </w:r>
      <w:r w:rsidRPr="0075057F">
        <w:t>mmHg</w:t>
      </w:r>
      <w:r>
        <w:rPr>
          <w:bCs/>
        </w:rPr>
        <w:t xml:space="preserve"> and not lower than 100/60 mmHg.</w:t>
      </w:r>
    </w:p>
    <w:p w:rsidR="00333578" w:rsidRDefault="00333578" w:rsidP="00333578">
      <w:pPr>
        <w:pStyle w:val="ListParagraph"/>
        <w:numPr>
          <w:ilvl w:val="2"/>
          <w:numId w:val="1"/>
        </w:numPr>
        <w:spacing w:before="120" w:after="120"/>
        <w:jc w:val="both"/>
        <w:rPr>
          <w:bCs/>
        </w:rPr>
      </w:pPr>
      <w:r>
        <w:rPr>
          <w:b/>
          <w:bCs/>
        </w:rPr>
        <w:t>Pulse rate</w:t>
      </w:r>
      <w:r w:rsidRPr="00333578">
        <w:rPr>
          <w:bCs/>
        </w:rPr>
        <w:t>:</w:t>
      </w:r>
      <w:r>
        <w:rPr>
          <w:bCs/>
        </w:rPr>
        <w:t xml:space="preserve"> </w:t>
      </w:r>
      <w:r w:rsidR="00491823">
        <w:rPr>
          <w:bCs/>
        </w:rPr>
        <w:t>The donor’s pulse rate must not be lower than 60 beats per minute or higher than 100 beats per minute.</w:t>
      </w:r>
    </w:p>
    <w:p w:rsidR="00491823" w:rsidRDefault="00491823" w:rsidP="00333578">
      <w:pPr>
        <w:pStyle w:val="ListParagraph"/>
        <w:numPr>
          <w:ilvl w:val="2"/>
          <w:numId w:val="1"/>
        </w:numPr>
        <w:spacing w:before="120" w:after="120"/>
        <w:jc w:val="both"/>
        <w:rPr>
          <w:bCs/>
        </w:rPr>
      </w:pPr>
      <w:r>
        <w:rPr>
          <w:b/>
          <w:bCs/>
        </w:rPr>
        <w:t>Haemoglobin</w:t>
      </w:r>
      <w:r w:rsidRPr="00491823">
        <w:rPr>
          <w:bCs/>
        </w:rPr>
        <w:t>:</w:t>
      </w:r>
      <w:r>
        <w:rPr>
          <w:b/>
          <w:bCs/>
        </w:rPr>
        <w:t xml:space="preserve"> </w:t>
      </w:r>
      <w:r>
        <w:rPr>
          <w:bCs/>
        </w:rPr>
        <w:t>The donor’s haemoglobin must not be less than 125 g/L.</w:t>
      </w:r>
    </w:p>
    <w:p w:rsidR="00491823" w:rsidRDefault="00491823" w:rsidP="00333578">
      <w:pPr>
        <w:pStyle w:val="ListParagraph"/>
        <w:numPr>
          <w:ilvl w:val="2"/>
          <w:numId w:val="1"/>
        </w:numPr>
        <w:spacing w:before="120" w:after="120"/>
        <w:jc w:val="both"/>
        <w:rPr>
          <w:bCs/>
        </w:rPr>
      </w:pPr>
      <w:r>
        <w:rPr>
          <w:b/>
          <w:bCs/>
        </w:rPr>
        <w:t>Drug Therapy</w:t>
      </w:r>
      <w:r w:rsidRPr="00491823">
        <w:rPr>
          <w:bCs/>
        </w:rPr>
        <w:t>:</w:t>
      </w:r>
      <w:r>
        <w:rPr>
          <w:b/>
          <w:bCs/>
        </w:rPr>
        <w:t xml:space="preserve"> </w:t>
      </w:r>
      <w:r w:rsidR="00180556" w:rsidRPr="00180556">
        <w:rPr>
          <w:bCs/>
        </w:rPr>
        <w:t>Blood from</w:t>
      </w:r>
      <w:r w:rsidR="00180556">
        <w:rPr>
          <w:b/>
          <w:bCs/>
        </w:rPr>
        <w:t xml:space="preserve"> </w:t>
      </w:r>
      <w:r w:rsidR="00180556">
        <w:rPr>
          <w:bCs/>
        </w:rPr>
        <w:t>donors who have ingest</w:t>
      </w:r>
      <w:r w:rsidR="00603655">
        <w:rPr>
          <w:bCs/>
        </w:rPr>
        <w:t>ed asp</w:t>
      </w:r>
      <w:r w:rsidR="00115F33">
        <w:rPr>
          <w:bCs/>
        </w:rPr>
        <w:t>i</w:t>
      </w:r>
      <w:r w:rsidR="00603655">
        <w:rPr>
          <w:bCs/>
        </w:rPr>
        <w:t>rin within the previous 72</w:t>
      </w:r>
      <w:r w:rsidR="00180556">
        <w:rPr>
          <w:bCs/>
        </w:rPr>
        <w:t xml:space="preserve"> hours should not be used for the production of platelet components.</w:t>
      </w:r>
    </w:p>
    <w:p w:rsidR="004A2E9F" w:rsidRDefault="004A2E9F" w:rsidP="004A2E9F">
      <w:pPr>
        <w:pStyle w:val="ListParagraph"/>
        <w:numPr>
          <w:ilvl w:val="2"/>
          <w:numId w:val="1"/>
        </w:numPr>
        <w:spacing w:before="120" w:after="120"/>
        <w:jc w:val="both"/>
        <w:rPr>
          <w:bCs/>
        </w:rPr>
      </w:pPr>
      <w:r w:rsidRPr="004A2E9F">
        <w:rPr>
          <w:b/>
          <w:bCs/>
        </w:rPr>
        <w:t>Medical history and general health</w:t>
      </w:r>
      <w:r w:rsidRPr="004A2E9F">
        <w:rPr>
          <w:bCs/>
        </w:rPr>
        <w:t xml:space="preserve">: The prospective donor shall appear to be in good health, and not under the influence of alcohol or drugs. The prospective donor shall be free of major organ disease (e.g. heart, liver, lungs) cancer, or abnormal bleeding tendency, unless determined eligible by the medical director. The venepuncture site shall be evaluated for lesions on the skin. The venepuncture site shall be free from infectious skin disease and any disease that might create a risk of contaminating the blood. Defer for dental extraction or surgery </w:t>
      </w:r>
      <w:r w:rsidR="00603655">
        <w:rPr>
          <w:bCs/>
        </w:rPr>
        <w:t>for a minimum of 72 hours</w:t>
      </w:r>
      <w:r w:rsidRPr="004A2E9F">
        <w:rPr>
          <w:bCs/>
        </w:rPr>
        <w:t>.</w:t>
      </w:r>
    </w:p>
    <w:p w:rsidR="004A2E9F" w:rsidRDefault="004A2E9F" w:rsidP="004A2E9F">
      <w:pPr>
        <w:pStyle w:val="ListParagraph"/>
        <w:numPr>
          <w:ilvl w:val="2"/>
          <w:numId w:val="1"/>
        </w:numPr>
        <w:spacing w:before="120" w:after="120"/>
        <w:jc w:val="both"/>
        <w:rPr>
          <w:bCs/>
        </w:rPr>
      </w:pPr>
      <w:r>
        <w:rPr>
          <w:b/>
          <w:bCs/>
        </w:rPr>
        <w:t>Pregnancy</w:t>
      </w:r>
      <w:r>
        <w:rPr>
          <w:bCs/>
        </w:rPr>
        <w:t>: Defer during pregnancy and during lactation.</w:t>
      </w:r>
    </w:p>
    <w:p w:rsidR="004A2E9F" w:rsidRDefault="004A2E9F" w:rsidP="004A2E9F">
      <w:pPr>
        <w:pStyle w:val="ListParagraph"/>
        <w:numPr>
          <w:ilvl w:val="2"/>
          <w:numId w:val="1"/>
        </w:numPr>
        <w:spacing w:before="120" w:after="120"/>
        <w:jc w:val="both"/>
        <w:rPr>
          <w:bCs/>
        </w:rPr>
      </w:pPr>
      <w:r>
        <w:rPr>
          <w:b/>
          <w:bCs/>
        </w:rPr>
        <w:t>Receipt of blood or blood components</w:t>
      </w:r>
      <w:r>
        <w:rPr>
          <w:bCs/>
        </w:rPr>
        <w:t>: Defer for 12 months following the receipt of blood, blood components or plasma-derived clotting factors.</w:t>
      </w:r>
    </w:p>
    <w:p w:rsidR="004A2E9F" w:rsidRDefault="004A2E9F" w:rsidP="004A2E9F">
      <w:pPr>
        <w:pStyle w:val="ListParagraph"/>
        <w:numPr>
          <w:ilvl w:val="2"/>
          <w:numId w:val="1"/>
        </w:numPr>
        <w:spacing w:before="120" w:after="120"/>
        <w:jc w:val="both"/>
        <w:rPr>
          <w:bCs/>
        </w:rPr>
      </w:pPr>
      <w:r>
        <w:rPr>
          <w:b/>
          <w:bCs/>
        </w:rPr>
        <w:t>Immunizations and vaccinations</w:t>
      </w:r>
      <w:r>
        <w:rPr>
          <w:bCs/>
        </w:rPr>
        <w:t>: Defer for two weeks following receipt of live attenuated viral and bacterial vaccines (measles, mumps, polio, typhoid, yellow fever). Defer for four weeks following receipt of live attenuated viral and bacterial vaccines (German measles, chicken pox, BCG).</w:t>
      </w:r>
    </w:p>
    <w:p w:rsidR="004A2E9F" w:rsidRDefault="004A2E9F" w:rsidP="004A2E9F">
      <w:pPr>
        <w:pStyle w:val="ListParagraph"/>
        <w:numPr>
          <w:ilvl w:val="2"/>
          <w:numId w:val="1"/>
        </w:numPr>
        <w:spacing w:before="120" w:after="120"/>
        <w:jc w:val="both"/>
        <w:rPr>
          <w:bCs/>
        </w:rPr>
      </w:pPr>
      <w:r w:rsidRPr="004A2E9F">
        <w:rPr>
          <w:b/>
          <w:bCs/>
        </w:rPr>
        <w:t>Infectious diseases</w:t>
      </w:r>
      <w:r>
        <w:rPr>
          <w:bCs/>
        </w:rPr>
        <w:t xml:space="preserve">: </w:t>
      </w:r>
    </w:p>
    <w:p w:rsidR="004A2E9F" w:rsidRPr="004A2E9F" w:rsidRDefault="0075057F" w:rsidP="00603655">
      <w:pPr>
        <w:pStyle w:val="ListParagraph"/>
        <w:numPr>
          <w:ilvl w:val="3"/>
          <w:numId w:val="1"/>
        </w:numPr>
        <w:tabs>
          <w:tab w:val="clear" w:pos="1800"/>
          <w:tab w:val="num" w:pos="1980"/>
        </w:tabs>
        <w:spacing w:before="120" w:after="120"/>
        <w:ind w:left="1984" w:hanging="907"/>
        <w:jc w:val="both"/>
        <w:rPr>
          <w:bCs/>
        </w:rPr>
      </w:pPr>
      <w:r>
        <w:rPr>
          <w:bCs/>
        </w:rPr>
        <w:t>Permanent exclusion</w:t>
      </w:r>
      <w:r w:rsidR="004A2E9F">
        <w:rPr>
          <w:bCs/>
        </w:rPr>
        <w:t xml:space="preserve"> if </w:t>
      </w:r>
      <w:r w:rsidR="00603655">
        <w:rPr>
          <w:bCs/>
        </w:rPr>
        <w:t xml:space="preserve">there is </w:t>
      </w:r>
      <w:r w:rsidR="004A2E9F">
        <w:rPr>
          <w:bCs/>
        </w:rPr>
        <w:t xml:space="preserve">present or past clinical or laboratory evidence of infection with HIV, HBV, HCV, </w:t>
      </w:r>
      <w:r w:rsidR="004A2E9F" w:rsidRPr="004A2E9F">
        <w:rPr>
          <w:bCs/>
          <w:lang w:val="en-GB"/>
        </w:rPr>
        <w:t>trypanosomiasis, or Chagas’ disease</w:t>
      </w:r>
      <w:r w:rsidR="004A2E9F">
        <w:rPr>
          <w:bCs/>
          <w:lang w:val="en-GB"/>
        </w:rPr>
        <w:t>.</w:t>
      </w:r>
    </w:p>
    <w:p w:rsidR="004A2E9F" w:rsidRPr="004A2E9F" w:rsidRDefault="004A2E9F" w:rsidP="00603655">
      <w:pPr>
        <w:pStyle w:val="ListParagraph"/>
        <w:numPr>
          <w:ilvl w:val="3"/>
          <w:numId w:val="1"/>
        </w:numPr>
        <w:tabs>
          <w:tab w:val="clear" w:pos="1800"/>
          <w:tab w:val="num" w:pos="1980"/>
        </w:tabs>
        <w:spacing w:before="120" w:after="120"/>
        <w:ind w:left="1984" w:hanging="907"/>
        <w:jc w:val="both"/>
        <w:rPr>
          <w:bCs/>
        </w:rPr>
      </w:pPr>
      <w:r>
        <w:rPr>
          <w:bCs/>
          <w:lang w:val="en-GB"/>
        </w:rPr>
        <w:t xml:space="preserve">Permanent exclusion if </w:t>
      </w:r>
      <w:r w:rsidR="00603655">
        <w:rPr>
          <w:bCs/>
          <w:lang w:val="en-GB"/>
        </w:rPr>
        <w:t xml:space="preserve">there has been </w:t>
      </w:r>
      <w:r>
        <w:rPr>
          <w:bCs/>
          <w:lang w:val="en-GB"/>
        </w:rPr>
        <w:t>s</w:t>
      </w:r>
      <w:r w:rsidRPr="004A2E9F">
        <w:rPr>
          <w:bCs/>
          <w:lang w:val="en-GB"/>
        </w:rPr>
        <w:t>exual contact with an individual with HIV infection or at high risk of HIV infection.</w:t>
      </w:r>
    </w:p>
    <w:p w:rsidR="004A2E9F" w:rsidRPr="00603655" w:rsidRDefault="004A2E9F" w:rsidP="00603655">
      <w:pPr>
        <w:pStyle w:val="ListParagraph"/>
        <w:numPr>
          <w:ilvl w:val="3"/>
          <w:numId w:val="1"/>
        </w:numPr>
        <w:tabs>
          <w:tab w:val="clear" w:pos="1800"/>
          <w:tab w:val="num" w:pos="1980"/>
        </w:tabs>
        <w:spacing w:before="120" w:after="120"/>
        <w:ind w:left="1984" w:hanging="907"/>
        <w:jc w:val="both"/>
        <w:rPr>
          <w:bCs/>
          <w:lang w:val="en-GB"/>
        </w:rPr>
      </w:pPr>
      <w:r>
        <w:rPr>
          <w:bCs/>
          <w:lang w:val="en-GB"/>
        </w:rPr>
        <w:t xml:space="preserve">Twelve month exclusion if </w:t>
      </w:r>
      <w:r w:rsidR="00603655">
        <w:rPr>
          <w:bCs/>
          <w:lang w:val="en-GB"/>
        </w:rPr>
        <w:t xml:space="preserve">there has been </w:t>
      </w:r>
      <w:r w:rsidR="0040109B">
        <w:rPr>
          <w:bCs/>
          <w:lang w:val="en-GB"/>
        </w:rPr>
        <w:t>m</w:t>
      </w:r>
      <w:r w:rsidRPr="004A2E9F">
        <w:rPr>
          <w:bCs/>
          <w:lang w:val="en-GB"/>
        </w:rPr>
        <w:t>ucous membrane exposure to blood</w:t>
      </w:r>
      <w:r>
        <w:rPr>
          <w:bCs/>
          <w:lang w:val="en-GB"/>
        </w:rPr>
        <w:t>.</w:t>
      </w:r>
    </w:p>
    <w:p w:rsidR="0040109B" w:rsidRPr="0040109B" w:rsidRDefault="0040109B" w:rsidP="00603655">
      <w:pPr>
        <w:pStyle w:val="ListParagraph"/>
        <w:numPr>
          <w:ilvl w:val="3"/>
          <w:numId w:val="1"/>
        </w:numPr>
        <w:tabs>
          <w:tab w:val="clear" w:pos="1800"/>
          <w:tab w:val="num" w:pos="1980"/>
        </w:tabs>
        <w:spacing w:before="120" w:after="120"/>
        <w:ind w:left="1984" w:hanging="907"/>
        <w:jc w:val="both"/>
        <w:rPr>
          <w:bCs/>
        </w:rPr>
      </w:pPr>
      <w:r>
        <w:rPr>
          <w:bCs/>
          <w:lang w:val="en-GB"/>
        </w:rPr>
        <w:t xml:space="preserve">Twelve month exclusion if </w:t>
      </w:r>
      <w:r w:rsidR="00603655">
        <w:rPr>
          <w:bCs/>
          <w:lang w:val="en-GB"/>
        </w:rPr>
        <w:t xml:space="preserve">there has been </w:t>
      </w:r>
      <w:r>
        <w:rPr>
          <w:bCs/>
          <w:lang w:val="en-GB"/>
        </w:rPr>
        <w:t>n</w:t>
      </w:r>
      <w:r w:rsidRPr="0040109B">
        <w:rPr>
          <w:bCs/>
          <w:lang w:val="en-GB"/>
        </w:rPr>
        <w:t>on-sterile skin penetration with instruments, equipment, or weapons contaminated with blood or body fluids other than the donor’s own.  Includes tattoos, body piercing, and scarification.</w:t>
      </w:r>
    </w:p>
    <w:p w:rsidR="0040109B" w:rsidRPr="0040109B" w:rsidRDefault="0040109B" w:rsidP="00603655">
      <w:pPr>
        <w:pStyle w:val="ListParagraph"/>
        <w:numPr>
          <w:ilvl w:val="3"/>
          <w:numId w:val="1"/>
        </w:numPr>
        <w:tabs>
          <w:tab w:val="clear" w:pos="1800"/>
          <w:tab w:val="num" w:pos="1980"/>
        </w:tabs>
        <w:spacing w:before="120" w:after="120"/>
        <w:ind w:left="1984" w:hanging="907"/>
        <w:jc w:val="both"/>
        <w:rPr>
          <w:bCs/>
        </w:rPr>
      </w:pPr>
      <w:r>
        <w:rPr>
          <w:bCs/>
          <w:lang w:val="en-GB"/>
        </w:rPr>
        <w:lastRenderedPageBreak/>
        <w:t xml:space="preserve">Twelve month exclusion (following last contact) if </w:t>
      </w:r>
      <w:r w:rsidR="00603655">
        <w:rPr>
          <w:bCs/>
          <w:lang w:val="en-GB"/>
        </w:rPr>
        <w:t xml:space="preserve">there has been </w:t>
      </w:r>
      <w:r w:rsidR="00603655">
        <w:rPr>
          <w:bCs/>
        </w:rPr>
        <w:t>s</w:t>
      </w:r>
      <w:r w:rsidRPr="0040109B">
        <w:rPr>
          <w:bCs/>
        </w:rPr>
        <w:t xml:space="preserve">exual contact </w:t>
      </w:r>
      <w:r w:rsidR="00603655">
        <w:rPr>
          <w:bCs/>
        </w:rPr>
        <w:t xml:space="preserve">with, </w:t>
      </w:r>
      <w:r w:rsidRPr="0040109B">
        <w:rPr>
          <w:bCs/>
        </w:rPr>
        <w:t xml:space="preserve">or </w:t>
      </w:r>
      <w:r w:rsidR="00603655">
        <w:rPr>
          <w:bCs/>
        </w:rPr>
        <w:t xml:space="preserve">if the prospective donor has </w:t>
      </w:r>
      <w:r w:rsidRPr="0040109B">
        <w:rPr>
          <w:bCs/>
        </w:rPr>
        <w:t>lived with</w:t>
      </w:r>
      <w:r w:rsidR="0075057F">
        <w:rPr>
          <w:bCs/>
        </w:rPr>
        <w:t>,</w:t>
      </w:r>
      <w:r w:rsidRPr="0040109B">
        <w:rPr>
          <w:bCs/>
        </w:rPr>
        <w:t xml:space="preserve"> an individual who:</w:t>
      </w:r>
    </w:p>
    <w:p w:rsidR="0040109B" w:rsidRPr="0040109B" w:rsidRDefault="0040109B" w:rsidP="0040109B">
      <w:pPr>
        <w:pStyle w:val="ListParagraph"/>
        <w:numPr>
          <w:ilvl w:val="4"/>
          <w:numId w:val="1"/>
        </w:numPr>
        <w:spacing w:before="120" w:after="120"/>
        <w:jc w:val="both"/>
        <w:rPr>
          <w:bCs/>
          <w:lang w:val="en-GB"/>
        </w:rPr>
      </w:pPr>
      <w:r w:rsidRPr="0040109B">
        <w:rPr>
          <w:bCs/>
          <w:lang w:val="en-GB"/>
        </w:rPr>
        <w:t>Has acute or chronic hepatitis B (positive HBsAg test, HBV NAT)</w:t>
      </w:r>
    </w:p>
    <w:p w:rsidR="0040109B" w:rsidRPr="0040109B" w:rsidRDefault="0040109B" w:rsidP="0040109B">
      <w:pPr>
        <w:pStyle w:val="ListParagraph"/>
        <w:numPr>
          <w:ilvl w:val="4"/>
          <w:numId w:val="1"/>
        </w:numPr>
        <w:spacing w:before="120" w:after="120"/>
        <w:jc w:val="both"/>
        <w:rPr>
          <w:bCs/>
          <w:lang w:val="en-GB"/>
        </w:rPr>
      </w:pPr>
      <w:r w:rsidRPr="0040109B">
        <w:rPr>
          <w:bCs/>
          <w:lang w:val="en-GB"/>
        </w:rPr>
        <w:t xml:space="preserve">Has symptomatic hepatitis C  </w:t>
      </w:r>
    </w:p>
    <w:p w:rsidR="0040109B" w:rsidRPr="0040109B" w:rsidRDefault="0040109B" w:rsidP="0040109B">
      <w:pPr>
        <w:pStyle w:val="ListParagraph"/>
        <w:numPr>
          <w:ilvl w:val="4"/>
          <w:numId w:val="1"/>
        </w:numPr>
        <w:spacing w:before="120" w:after="120"/>
        <w:jc w:val="both"/>
        <w:rPr>
          <w:bCs/>
        </w:rPr>
      </w:pPr>
      <w:r w:rsidRPr="0040109B">
        <w:rPr>
          <w:bCs/>
          <w:lang w:val="en-GB"/>
        </w:rPr>
        <w:t>Is symptomatic for any other viral hepatitis</w:t>
      </w:r>
    </w:p>
    <w:p w:rsidR="0040109B" w:rsidRPr="0040109B" w:rsidRDefault="0040109B" w:rsidP="00603655">
      <w:pPr>
        <w:pStyle w:val="ListParagraph"/>
        <w:numPr>
          <w:ilvl w:val="3"/>
          <w:numId w:val="1"/>
        </w:numPr>
        <w:tabs>
          <w:tab w:val="clear" w:pos="1800"/>
          <w:tab w:val="num" w:pos="1980"/>
        </w:tabs>
        <w:spacing w:before="120" w:after="120"/>
        <w:ind w:left="1984" w:hanging="907"/>
        <w:jc w:val="both"/>
        <w:rPr>
          <w:bCs/>
        </w:rPr>
      </w:pPr>
      <w:r>
        <w:rPr>
          <w:bCs/>
          <w:lang w:val="en-GB"/>
        </w:rPr>
        <w:t>Twelve month exclusion f</w:t>
      </w:r>
      <w:r w:rsidRPr="0040109B">
        <w:rPr>
          <w:bCs/>
          <w:lang w:val="en-GB"/>
        </w:rPr>
        <w:t xml:space="preserve">ollowing the diagnosis of a sexually transmitted infection such as syphilis or </w:t>
      </w:r>
      <w:r w:rsidR="00115F33" w:rsidRPr="00115F33">
        <w:rPr>
          <w:bCs/>
          <w:lang w:val="en-GB"/>
        </w:rPr>
        <w:t>gonorrhoea</w:t>
      </w:r>
      <w:r w:rsidRPr="0040109B">
        <w:rPr>
          <w:bCs/>
          <w:lang w:val="en-GB"/>
        </w:rPr>
        <w:t xml:space="preserve"> (shall have completed treatment.)</w:t>
      </w:r>
    </w:p>
    <w:p w:rsidR="0075057F" w:rsidRPr="0075057F" w:rsidRDefault="0040109B" w:rsidP="0037721E">
      <w:pPr>
        <w:pStyle w:val="ListParagraph"/>
        <w:numPr>
          <w:ilvl w:val="2"/>
          <w:numId w:val="1"/>
        </w:numPr>
        <w:spacing w:before="120"/>
        <w:ind w:left="1417" w:hanging="697"/>
        <w:contextualSpacing w:val="0"/>
        <w:jc w:val="both"/>
        <w:rPr>
          <w:b/>
          <w:bCs/>
        </w:rPr>
      </w:pPr>
      <w:r w:rsidRPr="0040109B">
        <w:rPr>
          <w:b/>
          <w:bCs/>
          <w:lang w:val="en-GB"/>
        </w:rPr>
        <w:t>Malaria</w:t>
      </w:r>
      <w:r>
        <w:rPr>
          <w:bCs/>
          <w:lang w:val="en-GB"/>
        </w:rPr>
        <w:t xml:space="preserve">: </w:t>
      </w:r>
    </w:p>
    <w:p w:rsidR="0040109B" w:rsidRPr="0037721E" w:rsidRDefault="0040109B" w:rsidP="0075057F">
      <w:pPr>
        <w:pStyle w:val="ListParagraph"/>
        <w:numPr>
          <w:ilvl w:val="3"/>
          <w:numId w:val="1"/>
        </w:numPr>
        <w:spacing w:before="120"/>
        <w:contextualSpacing w:val="0"/>
        <w:jc w:val="both"/>
        <w:rPr>
          <w:b/>
          <w:bCs/>
        </w:rPr>
      </w:pPr>
      <w:r>
        <w:rPr>
          <w:bCs/>
          <w:lang w:val="en-GB"/>
        </w:rPr>
        <w:t>The prospective donor shall be evaluated for potential risks of transmitting malaria</w:t>
      </w:r>
      <w:r w:rsidR="0075057F">
        <w:rPr>
          <w:bCs/>
          <w:lang w:val="en-GB"/>
        </w:rPr>
        <w:t xml:space="preserve"> and, if applicable, deferred according to </w:t>
      </w:r>
      <w:r w:rsidR="00243074">
        <w:rPr>
          <w:bCs/>
          <w:lang w:val="en-GB"/>
        </w:rPr>
        <w:t>national guidelines</w:t>
      </w:r>
      <w:r>
        <w:rPr>
          <w:bCs/>
          <w:lang w:val="en-GB"/>
        </w:rPr>
        <w:t>.</w:t>
      </w:r>
    </w:p>
    <w:p w:rsidR="0037721E" w:rsidRPr="0037721E" w:rsidRDefault="0037721E" w:rsidP="0040356D">
      <w:pPr>
        <w:numPr>
          <w:ilvl w:val="2"/>
          <w:numId w:val="1"/>
        </w:numPr>
        <w:ind w:left="1417" w:hanging="697"/>
        <w:contextualSpacing/>
        <w:jc w:val="both"/>
        <w:rPr>
          <w:b/>
          <w:bCs/>
        </w:rPr>
      </w:pPr>
      <w:r w:rsidRPr="0037721E">
        <w:rPr>
          <w:b/>
          <w:bCs/>
        </w:rPr>
        <w:t>Temperature</w:t>
      </w:r>
    </w:p>
    <w:p w:rsidR="0037721E" w:rsidRDefault="0037721E" w:rsidP="0040356D">
      <w:pPr>
        <w:pStyle w:val="ListParagraph"/>
        <w:numPr>
          <w:ilvl w:val="3"/>
          <w:numId w:val="1"/>
        </w:numPr>
        <w:tabs>
          <w:tab w:val="clear" w:pos="1800"/>
          <w:tab w:val="num" w:pos="1980"/>
        </w:tabs>
        <w:spacing w:before="120" w:after="120"/>
        <w:ind w:left="1984" w:hanging="907"/>
        <w:jc w:val="both"/>
        <w:rPr>
          <w:bCs/>
        </w:rPr>
      </w:pPr>
      <w:r w:rsidRPr="0037721E">
        <w:rPr>
          <w:bCs/>
        </w:rPr>
        <w:t>Although it is not necessary to measure the donor’s temperature, those donors who are obviously pyrexial must be deferred.</w:t>
      </w:r>
    </w:p>
    <w:p w:rsidR="0037721E" w:rsidRDefault="0037721E" w:rsidP="0037721E">
      <w:pPr>
        <w:pStyle w:val="ListParagraph"/>
        <w:numPr>
          <w:ilvl w:val="1"/>
          <w:numId w:val="1"/>
        </w:numPr>
        <w:jc w:val="both"/>
        <w:rPr>
          <w:bCs/>
        </w:rPr>
      </w:pPr>
      <w:r>
        <w:rPr>
          <w:bCs/>
        </w:rPr>
        <w:t>If there is any doubt about the eligibility of the donor to donate at that time, consult the Medical Director or designate, whose opinion is final.</w:t>
      </w:r>
    </w:p>
    <w:p w:rsidR="0037721E" w:rsidRDefault="0037721E" w:rsidP="0037721E">
      <w:pPr>
        <w:pStyle w:val="ListParagraph"/>
        <w:numPr>
          <w:ilvl w:val="1"/>
          <w:numId w:val="1"/>
        </w:numPr>
        <w:jc w:val="both"/>
        <w:rPr>
          <w:bCs/>
        </w:rPr>
      </w:pPr>
      <w:r>
        <w:rPr>
          <w:bCs/>
        </w:rPr>
        <w:t>If the donor is to be deferred for any reason, explain this t</w:t>
      </w:r>
      <w:r w:rsidR="0075057F">
        <w:rPr>
          <w:bCs/>
        </w:rPr>
        <w:t>o</w:t>
      </w:r>
      <w:r>
        <w:rPr>
          <w:bCs/>
        </w:rPr>
        <w:t xml:space="preserve"> the donor in a sensitive manner and ensure that he/she has understood the reason for the deferral and the length of the deferral. Encourage </w:t>
      </w:r>
      <w:r w:rsidR="0075057F">
        <w:rPr>
          <w:bCs/>
        </w:rPr>
        <w:t>the donor</w:t>
      </w:r>
      <w:r>
        <w:rPr>
          <w:bCs/>
        </w:rPr>
        <w:t xml:space="preserve"> to return to donate when the deferral period has pas</w:t>
      </w:r>
      <w:r w:rsidR="00115F33">
        <w:rPr>
          <w:bCs/>
        </w:rPr>
        <w:t>sed</w:t>
      </w:r>
      <w:r>
        <w:rPr>
          <w:bCs/>
        </w:rPr>
        <w:t>.</w:t>
      </w:r>
    </w:p>
    <w:p w:rsidR="0037721E" w:rsidRDefault="0037721E" w:rsidP="0037721E">
      <w:pPr>
        <w:pStyle w:val="ListParagraph"/>
        <w:numPr>
          <w:ilvl w:val="2"/>
          <w:numId w:val="1"/>
        </w:numPr>
        <w:jc w:val="both"/>
        <w:rPr>
          <w:bCs/>
        </w:rPr>
      </w:pPr>
      <w:r>
        <w:rPr>
          <w:bCs/>
        </w:rPr>
        <w:t>Record the reason for the deferral and the deferral period on the Medical History Form.</w:t>
      </w:r>
    </w:p>
    <w:p w:rsidR="000505BD" w:rsidRPr="002607A5" w:rsidRDefault="000505BD" w:rsidP="0040109B">
      <w:pPr>
        <w:numPr>
          <w:ilvl w:val="0"/>
          <w:numId w:val="1"/>
        </w:numPr>
        <w:spacing w:before="120" w:after="120"/>
        <w:ind w:left="357"/>
        <w:jc w:val="both"/>
        <w:rPr>
          <w:bCs/>
          <w:i/>
        </w:rPr>
      </w:pPr>
      <w:r w:rsidRPr="002607A5">
        <w:rPr>
          <w:b/>
          <w:bCs/>
        </w:rPr>
        <w:t>Records and forms</w:t>
      </w:r>
    </w:p>
    <w:p w:rsidR="000505BD" w:rsidRPr="0075057F" w:rsidRDefault="0040109B" w:rsidP="0075057F">
      <w:pPr>
        <w:pStyle w:val="ListParagraph"/>
        <w:numPr>
          <w:ilvl w:val="1"/>
          <w:numId w:val="1"/>
        </w:numPr>
        <w:spacing w:before="120" w:after="120"/>
        <w:jc w:val="both"/>
        <w:rPr>
          <w:bCs/>
        </w:rPr>
      </w:pPr>
      <w:r w:rsidRPr="0075057F">
        <w:rPr>
          <w:bCs/>
        </w:rPr>
        <w:t>Medical history forms must be retained in compliance with the Document Retention Policy.</w:t>
      </w:r>
    </w:p>
    <w:p w:rsidR="000505BD" w:rsidRPr="002607A5" w:rsidRDefault="000505BD" w:rsidP="0040109B">
      <w:pPr>
        <w:numPr>
          <w:ilvl w:val="0"/>
          <w:numId w:val="1"/>
        </w:numPr>
        <w:spacing w:before="120" w:after="120"/>
        <w:ind w:left="357"/>
        <w:jc w:val="both"/>
        <w:rPr>
          <w:b/>
          <w:bCs/>
        </w:rPr>
      </w:pPr>
      <w:r w:rsidRPr="002607A5">
        <w:rPr>
          <w:b/>
          <w:bCs/>
        </w:rPr>
        <w:t>References</w:t>
      </w:r>
    </w:p>
    <w:p w:rsidR="000505BD" w:rsidRPr="0075057F" w:rsidRDefault="0040109B" w:rsidP="0075057F">
      <w:pPr>
        <w:pStyle w:val="ListParagraph"/>
        <w:numPr>
          <w:ilvl w:val="1"/>
          <w:numId w:val="1"/>
        </w:numPr>
        <w:spacing w:before="120" w:after="120"/>
        <w:jc w:val="both"/>
        <w:rPr>
          <w:bCs/>
        </w:rPr>
      </w:pPr>
      <w:r w:rsidRPr="0075057F">
        <w:rPr>
          <w:bCs/>
        </w:rPr>
        <w:t>Nil</w:t>
      </w:r>
    </w:p>
    <w:p w:rsidR="000505BD" w:rsidRPr="002607A5" w:rsidRDefault="000505BD" w:rsidP="0040109B">
      <w:pPr>
        <w:numPr>
          <w:ilvl w:val="0"/>
          <w:numId w:val="1"/>
        </w:numPr>
        <w:spacing w:before="120" w:after="120"/>
        <w:ind w:left="357"/>
        <w:jc w:val="both"/>
        <w:rPr>
          <w:b/>
          <w:bCs/>
        </w:rPr>
      </w:pPr>
      <w:r w:rsidRPr="002607A5">
        <w:rPr>
          <w:b/>
          <w:bCs/>
        </w:rPr>
        <w:t>Revision Summary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548"/>
        <w:gridCol w:w="2866"/>
        <w:gridCol w:w="2505"/>
      </w:tblGrid>
      <w:tr w:rsidR="002615D5" w:rsidRPr="002607A5" w:rsidTr="00CB7436">
        <w:tc>
          <w:tcPr>
            <w:tcW w:w="1403" w:type="dxa"/>
            <w:vAlign w:val="center"/>
          </w:tcPr>
          <w:p w:rsidR="002615D5" w:rsidRPr="002607A5" w:rsidRDefault="002615D5" w:rsidP="002615D5">
            <w:pPr>
              <w:tabs>
                <w:tab w:val="left" w:pos="567"/>
              </w:tabs>
              <w:jc w:val="center"/>
              <w:rPr>
                <w:b/>
                <w:bCs/>
              </w:rPr>
            </w:pPr>
            <w:r w:rsidRPr="002607A5">
              <w:rPr>
                <w:b/>
                <w:bCs/>
              </w:rPr>
              <w:t>REVISION NUMBER</w:t>
            </w:r>
          </w:p>
        </w:tc>
        <w:tc>
          <w:tcPr>
            <w:tcW w:w="1548" w:type="dxa"/>
            <w:vAlign w:val="center"/>
          </w:tcPr>
          <w:p w:rsidR="002615D5" w:rsidRPr="002607A5" w:rsidRDefault="002615D5" w:rsidP="002615D5">
            <w:pPr>
              <w:tabs>
                <w:tab w:val="left" w:pos="567"/>
              </w:tabs>
              <w:jc w:val="center"/>
              <w:rPr>
                <w:b/>
                <w:bCs/>
              </w:rPr>
            </w:pPr>
            <w:r w:rsidRPr="002607A5">
              <w:rPr>
                <w:b/>
                <w:bCs/>
              </w:rPr>
              <w:t>DATE</w:t>
            </w:r>
          </w:p>
        </w:tc>
        <w:tc>
          <w:tcPr>
            <w:tcW w:w="2866" w:type="dxa"/>
            <w:vAlign w:val="center"/>
          </w:tcPr>
          <w:p w:rsidR="002615D5" w:rsidRPr="002607A5" w:rsidRDefault="002615D5" w:rsidP="002615D5">
            <w:pPr>
              <w:tabs>
                <w:tab w:val="left" w:pos="567"/>
              </w:tabs>
              <w:jc w:val="center"/>
              <w:rPr>
                <w:b/>
                <w:bCs/>
              </w:rPr>
            </w:pPr>
            <w:r w:rsidRPr="002607A5">
              <w:rPr>
                <w:b/>
                <w:bCs/>
              </w:rPr>
              <w:t>REVISION DETAILS</w:t>
            </w:r>
          </w:p>
        </w:tc>
        <w:tc>
          <w:tcPr>
            <w:tcW w:w="2505" w:type="dxa"/>
            <w:vAlign w:val="center"/>
          </w:tcPr>
          <w:p w:rsidR="002615D5" w:rsidRPr="002607A5" w:rsidRDefault="002615D5" w:rsidP="002615D5">
            <w:pPr>
              <w:tabs>
                <w:tab w:val="left" w:pos="567"/>
              </w:tabs>
              <w:jc w:val="center"/>
              <w:rPr>
                <w:b/>
                <w:bCs/>
              </w:rPr>
            </w:pPr>
            <w:r w:rsidRPr="002607A5">
              <w:rPr>
                <w:b/>
                <w:bCs/>
              </w:rPr>
              <w:t>REASON FOR REVISION</w:t>
            </w:r>
          </w:p>
        </w:tc>
      </w:tr>
      <w:tr w:rsidR="002615D5" w:rsidRPr="002607A5" w:rsidTr="00CB7436">
        <w:tc>
          <w:tcPr>
            <w:tcW w:w="1403" w:type="dxa"/>
            <w:vAlign w:val="center"/>
          </w:tcPr>
          <w:p w:rsidR="002615D5" w:rsidRPr="002607A5" w:rsidRDefault="002615D5" w:rsidP="002615D5">
            <w:pPr>
              <w:tabs>
                <w:tab w:val="left" w:pos="567"/>
              </w:tabs>
              <w:jc w:val="center"/>
              <w:rPr>
                <w:bCs/>
              </w:rPr>
            </w:pPr>
          </w:p>
        </w:tc>
        <w:tc>
          <w:tcPr>
            <w:tcW w:w="1548" w:type="dxa"/>
            <w:vAlign w:val="center"/>
          </w:tcPr>
          <w:p w:rsidR="002615D5" w:rsidRPr="002607A5" w:rsidRDefault="002615D5" w:rsidP="002615D5">
            <w:pPr>
              <w:tabs>
                <w:tab w:val="left" w:pos="567"/>
              </w:tabs>
              <w:jc w:val="center"/>
              <w:rPr>
                <w:bCs/>
              </w:rPr>
            </w:pPr>
          </w:p>
        </w:tc>
        <w:tc>
          <w:tcPr>
            <w:tcW w:w="2866" w:type="dxa"/>
            <w:vAlign w:val="center"/>
          </w:tcPr>
          <w:p w:rsidR="009A7FB9" w:rsidRPr="002607A5" w:rsidRDefault="009A7FB9" w:rsidP="00CB7436">
            <w:pPr>
              <w:tabs>
                <w:tab w:val="left" w:pos="567"/>
              </w:tabs>
              <w:ind w:left="575" w:hanging="575"/>
              <w:rPr>
                <w:bCs/>
              </w:rPr>
            </w:pPr>
          </w:p>
        </w:tc>
        <w:tc>
          <w:tcPr>
            <w:tcW w:w="2505" w:type="dxa"/>
            <w:vAlign w:val="center"/>
          </w:tcPr>
          <w:p w:rsidR="002615D5" w:rsidRPr="002607A5" w:rsidRDefault="002615D5" w:rsidP="009A7FB9">
            <w:pPr>
              <w:tabs>
                <w:tab w:val="left" w:pos="567"/>
              </w:tabs>
              <w:rPr>
                <w:bCs/>
              </w:rPr>
            </w:pPr>
          </w:p>
        </w:tc>
      </w:tr>
    </w:tbl>
    <w:p w:rsidR="002615D5" w:rsidRPr="002607A5" w:rsidRDefault="002615D5" w:rsidP="00F014E3">
      <w:pPr>
        <w:jc w:val="both"/>
        <w:rPr>
          <w:color w:val="FF0000"/>
        </w:rPr>
      </w:pPr>
    </w:p>
    <w:sectPr w:rsidR="002615D5" w:rsidRPr="002607A5" w:rsidSect="004035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03" w:rsidRDefault="00590003">
      <w:r>
        <w:separator/>
      </w:r>
    </w:p>
  </w:endnote>
  <w:endnote w:type="continuationSeparator" w:id="0">
    <w:p w:rsidR="00590003" w:rsidRDefault="005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8" w:rsidRDefault="00E74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8" w:rsidRDefault="00E74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8" w:rsidRDefault="00E7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03" w:rsidRDefault="00590003">
      <w:r>
        <w:separator/>
      </w:r>
    </w:p>
  </w:footnote>
  <w:footnote w:type="continuationSeparator" w:id="0">
    <w:p w:rsidR="00590003" w:rsidRDefault="0059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B8" w:rsidRDefault="00E74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Document Number:</w:t>
    </w:r>
    <w:r w:rsidR="000F3882" w:rsidRPr="000F3882">
      <w:rPr>
        <w:rFonts w:asciiTheme="minorHAnsi" w:hAnsiTheme="minorHAnsi"/>
        <w:sz w:val="22"/>
      </w:rPr>
      <w:t xml:space="preserve"> </w:t>
    </w:r>
    <w:r w:rsidR="000F3882">
      <w:rPr>
        <w:rFonts w:asciiTheme="minorHAnsi" w:hAnsiTheme="minorHAnsi"/>
        <w:sz w:val="22"/>
      </w:rPr>
      <w:t>SOP-2-1</w:t>
    </w:r>
    <w:r>
      <w:tab/>
    </w:r>
    <w:r>
      <w:tab/>
      <w:t xml:space="preserve">Page </w:t>
    </w:r>
    <w:r>
      <w:fldChar w:fldCharType="begin"/>
    </w:r>
    <w:r>
      <w:instrText xml:space="preserve"> PAGE </w:instrText>
    </w:r>
    <w:r>
      <w:fldChar w:fldCharType="separate"/>
    </w:r>
    <w:r w:rsidR="00E745B8">
      <w:rPr>
        <w:noProof/>
      </w:rPr>
      <w:t>3</w:t>
    </w:r>
    <w:r>
      <w:fldChar w:fldCharType="end"/>
    </w:r>
    <w:r>
      <w:t xml:space="preserve"> of </w:t>
    </w:r>
    <w:r>
      <w:fldChar w:fldCharType="begin"/>
    </w:r>
    <w:r>
      <w:instrText xml:space="preserve"> NUMPAGES </w:instrText>
    </w:r>
    <w:r>
      <w:fldChar w:fldCharType="separate"/>
    </w:r>
    <w:r w:rsidR="00E745B8">
      <w:rPr>
        <w:noProof/>
      </w:rPr>
      <w:t>3</w:t>
    </w:r>
    <w:r>
      <w:fldChar w:fldCharType="end"/>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Author             : Sign</w:t>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Approved        : Sign</w:t>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5" w:rsidRPr="002328B2" w:rsidRDefault="00027715"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Document Number: </w:t>
    </w:r>
    <w:r w:rsidR="0040356D" w:rsidRPr="0040356D">
      <w:rPr>
        <w:rFonts w:asciiTheme="minorHAnsi" w:hAnsiTheme="minorHAnsi"/>
        <w:sz w:val="22"/>
      </w:rPr>
      <w:t>SOP-</w:t>
    </w:r>
    <w:r w:rsidR="00E745B8">
      <w:rPr>
        <w:rFonts w:asciiTheme="minorHAnsi" w:hAnsiTheme="minorHAnsi"/>
        <w:sz w:val="22"/>
      </w:rPr>
      <w:t>02-0</w:t>
    </w:r>
    <w:bookmarkStart w:id="0" w:name="_GoBack"/>
    <w:bookmarkEnd w:id="0"/>
    <w:r w:rsidR="0040356D">
      <w:rPr>
        <w:rFonts w:asciiTheme="minorHAnsi" w:hAnsiTheme="minorHAnsi"/>
        <w:sz w:val="22"/>
      </w:rPr>
      <w:tab/>
    </w:r>
    <w:r>
      <w:rPr>
        <w:rFonts w:asciiTheme="minorHAnsi" w:hAnsiTheme="minorHAnsi"/>
        <w:sz w:val="22"/>
      </w:rPr>
      <w:tab/>
    </w:r>
    <w:r w:rsidRPr="002328B2">
      <w:rPr>
        <w:rFonts w:asciiTheme="minorHAnsi" w:hAnsiTheme="minorHAnsi"/>
        <w:sz w:val="22"/>
      </w:rPr>
      <w:t xml:space="preserve">Page </w:t>
    </w:r>
    <w:r w:rsidRPr="002328B2">
      <w:rPr>
        <w:rFonts w:asciiTheme="minorHAnsi" w:hAnsiTheme="minorHAnsi"/>
        <w:sz w:val="22"/>
      </w:rPr>
      <w:fldChar w:fldCharType="begin"/>
    </w:r>
    <w:r w:rsidRPr="002328B2">
      <w:rPr>
        <w:rFonts w:asciiTheme="minorHAnsi" w:hAnsiTheme="minorHAnsi"/>
        <w:sz w:val="22"/>
      </w:rPr>
      <w:instrText xml:space="preserve"> PAGE </w:instrText>
    </w:r>
    <w:r w:rsidRPr="002328B2">
      <w:rPr>
        <w:rFonts w:asciiTheme="minorHAnsi" w:hAnsiTheme="minorHAnsi"/>
        <w:sz w:val="22"/>
      </w:rPr>
      <w:fldChar w:fldCharType="separate"/>
    </w:r>
    <w:r w:rsidR="00E745B8">
      <w:rPr>
        <w:rFonts w:asciiTheme="minorHAnsi" w:hAnsiTheme="minorHAnsi"/>
        <w:noProof/>
        <w:sz w:val="22"/>
      </w:rPr>
      <w:t>1</w:t>
    </w:r>
    <w:r w:rsidRPr="002328B2">
      <w:rPr>
        <w:rFonts w:asciiTheme="minorHAnsi" w:hAnsiTheme="minorHAnsi"/>
        <w:sz w:val="22"/>
      </w:rPr>
      <w:fldChar w:fldCharType="end"/>
    </w:r>
    <w:r w:rsidRPr="002328B2">
      <w:rPr>
        <w:rFonts w:asciiTheme="minorHAnsi" w:hAnsiTheme="minorHAnsi"/>
        <w:sz w:val="22"/>
      </w:rPr>
      <w:t xml:space="preserve"> of </w:t>
    </w:r>
    <w:r w:rsidRPr="002328B2">
      <w:rPr>
        <w:rFonts w:asciiTheme="minorHAnsi" w:hAnsiTheme="minorHAnsi"/>
        <w:sz w:val="22"/>
      </w:rPr>
      <w:fldChar w:fldCharType="begin"/>
    </w:r>
    <w:r w:rsidRPr="002328B2">
      <w:rPr>
        <w:rFonts w:asciiTheme="minorHAnsi" w:hAnsiTheme="minorHAnsi"/>
        <w:sz w:val="22"/>
      </w:rPr>
      <w:instrText xml:space="preserve"> NUMPAGES </w:instrText>
    </w:r>
    <w:r w:rsidRPr="002328B2">
      <w:rPr>
        <w:rFonts w:asciiTheme="minorHAnsi" w:hAnsiTheme="minorHAnsi"/>
        <w:sz w:val="22"/>
      </w:rPr>
      <w:fldChar w:fldCharType="separate"/>
    </w:r>
    <w:r w:rsidR="00E745B8">
      <w:rPr>
        <w:rFonts w:asciiTheme="minorHAnsi" w:hAnsiTheme="minorHAnsi"/>
        <w:noProof/>
        <w:sz w:val="22"/>
      </w:rPr>
      <w:t>3</w:t>
    </w:r>
    <w:r w:rsidRPr="002328B2">
      <w:rPr>
        <w:rFonts w:asciiTheme="minorHAnsi" w:hAnsiTheme="minorHAnsi"/>
        <w:sz w:val="22"/>
      </w:rPr>
      <w:fldChar w:fldCharType="end"/>
    </w:r>
  </w:p>
  <w:p w:rsidR="00027715" w:rsidRPr="002328B2" w:rsidRDefault="00027715"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Effective Date: </w:t>
    </w:r>
    <w:r w:rsidRPr="002328B2">
      <w:rPr>
        <w:rFonts w:asciiTheme="minorHAnsi" w:hAnsiTheme="minorHAnsi"/>
        <w:i/>
        <w:sz w:val="22"/>
      </w:rPr>
      <w:t>Enter the date on which the SOP is to become effective</w:t>
    </w:r>
    <w:r>
      <w:rPr>
        <w:rFonts w:asciiTheme="minorHAnsi" w:hAnsiTheme="minorHAnsi"/>
        <w:i/>
        <w:sz w:val="22"/>
      </w:rPr>
      <w:t xml:space="preserve"> (allow time for training)</w:t>
    </w:r>
  </w:p>
  <w:p w:rsidR="00027715" w:rsidRPr="002328B2" w:rsidRDefault="00027715"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Author            : </w:t>
    </w:r>
    <w:r w:rsidRPr="002328B2">
      <w:rPr>
        <w:rFonts w:asciiTheme="minorHAnsi" w:hAnsiTheme="minorHAnsi"/>
        <w:i/>
        <w:sz w:val="22"/>
      </w:rPr>
      <w:t>Name</w:t>
    </w:r>
    <w:r w:rsidRPr="002328B2">
      <w:rPr>
        <w:rFonts w:asciiTheme="minorHAnsi" w:hAnsiTheme="minorHAnsi"/>
        <w:sz w:val="22"/>
      </w:rPr>
      <w:tab/>
      <w:t>Sign</w:t>
    </w:r>
  </w:p>
  <w:p w:rsidR="00027715" w:rsidRPr="002328B2" w:rsidRDefault="00027715" w:rsidP="008B3FEF">
    <w:pPr>
      <w:pStyle w:val="Header"/>
      <w:pBdr>
        <w:top w:val="single" w:sz="4" w:space="1" w:color="auto"/>
        <w:left w:val="single" w:sz="4" w:space="4" w:color="auto"/>
        <w:bottom w:val="single" w:sz="4" w:space="1" w:color="auto"/>
        <w:right w:val="single" w:sz="4" w:space="4" w:color="auto"/>
      </w:pBdr>
      <w:rPr>
        <w:rFonts w:asciiTheme="minorHAnsi" w:hAnsiTheme="minorHAnsi"/>
        <w:sz w:val="22"/>
      </w:rPr>
    </w:pPr>
    <w:r w:rsidRPr="002328B2">
      <w:rPr>
        <w:rFonts w:asciiTheme="minorHAnsi" w:hAnsiTheme="minorHAnsi"/>
        <w:sz w:val="22"/>
      </w:rPr>
      <w:t xml:space="preserve">Approved       : </w:t>
    </w:r>
    <w:r w:rsidRPr="002328B2">
      <w:rPr>
        <w:rFonts w:asciiTheme="minorHAnsi" w:hAnsiTheme="minorHAnsi"/>
        <w:i/>
        <w:sz w:val="22"/>
      </w:rPr>
      <w:t>Name</w:t>
    </w:r>
    <w:r w:rsidRPr="002328B2">
      <w:rPr>
        <w:rFonts w:asciiTheme="minorHAnsi" w:hAnsiTheme="minorHAnsi"/>
        <w:sz w:val="22"/>
      </w:rPr>
      <w:tab/>
      <w:t>Sign</w:t>
    </w:r>
    <w:r w:rsidRPr="002328B2">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7DC"/>
    <w:multiLevelType w:val="multilevel"/>
    <w:tmpl w:val="42C25E24"/>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7321BC"/>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C8101D0"/>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5DC7426"/>
    <w:multiLevelType w:val="multilevel"/>
    <w:tmpl w:val="3194881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229AF"/>
    <w:rsid w:val="00027715"/>
    <w:rsid w:val="00037968"/>
    <w:rsid w:val="0004020B"/>
    <w:rsid w:val="0004343E"/>
    <w:rsid w:val="00043C1B"/>
    <w:rsid w:val="000505BD"/>
    <w:rsid w:val="00072A88"/>
    <w:rsid w:val="000E4CBD"/>
    <w:rsid w:val="000F04C2"/>
    <w:rsid w:val="000F3882"/>
    <w:rsid w:val="000F73C2"/>
    <w:rsid w:val="00115F33"/>
    <w:rsid w:val="001663EC"/>
    <w:rsid w:val="001679B1"/>
    <w:rsid w:val="0017115E"/>
    <w:rsid w:val="00180556"/>
    <w:rsid w:val="001A4ECD"/>
    <w:rsid w:val="001C260F"/>
    <w:rsid w:val="001F5578"/>
    <w:rsid w:val="00202A82"/>
    <w:rsid w:val="002328B2"/>
    <w:rsid w:val="002405B2"/>
    <w:rsid w:val="00243074"/>
    <w:rsid w:val="002538BA"/>
    <w:rsid w:val="002607A5"/>
    <w:rsid w:val="002615D5"/>
    <w:rsid w:val="0026571A"/>
    <w:rsid w:val="0029638E"/>
    <w:rsid w:val="002E067F"/>
    <w:rsid w:val="00303D35"/>
    <w:rsid w:val="00333578"/>
    <w:rsid w:val="0036168B"/>
    <w:rsid w:val="0037721E"/>
    <w:rsid w:val="003B2E48"/>
    <w:rsid w:val="003C46D1"/>
    <w:rsid w:val="003F1A38"/>
    <w:rsid w:val="0040109B"/>
    <w:rsid w:val="0040356D"/>
    <w:rsid w:val="00491823"/>
    <w:rsid w:val="004A2E9F"/>
    <w:rsid w:val="00500DFF"/>
    <w:rsid w:val="00580AE6"/>
    <w:rsid w:val="00590003"/>
    <w:rsid w:val="00591BD8"/>
    <w:rsid w:val="005D6BA1"/>
    <w:rsid w:val="00601545"/>
    <w:rsid w:val="00603655"/>
    <w:rsid w:val="00612E0A"/>
    <w:rsid w:val="00613765"/>
    <w:rsid w:val="00615D56"/>
    <w:rsid w:val="006A5B20"/>
    <w:rsid w:val="006A5D36"/>
    <w:rsid w:val="006B051B"/>
    <w:rsid w:val="006C509C"/>
    <w:rsid w:val="006E791A"/>
    <w:rsid w:val="006F7DF9"/>
    <w:rsid w:val="00713D13"/>
    <w:rsid w:val="0075057F"/>
    <w:rsid w:val="007B6EBA"/>
    <w:rsid w:val="007E013D"/>
    <w:rsid w:val="00822711"/>
    <w:rsid w:val="00850B5B"/>
    <w:rsid w:val="00864A8C"/>
    <w:rsid w:val="00870F67"/>
    <w:rsid w:val="00877D4E"/>
    <w:rsid w:val="00890346"/>
    <w:rsid w:val="008937E7"/>
    <w:rsid w:val="008B3FEF"/>
    <w:rsid w:val="008C55D7"/>
    <w:rsid w:val="008D6578"/>
    <w:rsid w:val="008F525B"/>
    <w:rsid w:val="009244F8"/>
    <w:rsid w:val="00925C66"/>
    <w:rsid w:val="009311E8"/>
    <w:rsid w:val="00957F3B"/>
    <w:rsid w:val="009A4CEC"/>
    <w:rsid w:val="009A7FB9"/>
    <w:rsid w:val="009C60BC"/>
    <w:rsid w:val="00A00F42"/>
    <w:rsid w:val="00A63CAE"/>
    <w:rsid w:val="00AC0322"/>
    <w:rsid w:val="00AE1869"/>
    <w:rsid w:val="00AE1C89"/>
    <w:rsid w:val="00AF5171"/>
    <w:rsid w:val="00B07047"/>
    <w:rsid w:val="00B07DBF"/>
    <w:rsid w:val="00B240E3"/>
    <w:rsid w:val="00B26881"/>
    <w:rsid w:val="00B4331D"/>
    <w:rsid w:val="00B75CAB"/>
    <w:rsid w:val="00B93DDB"/>
    <w:rsid w:val="00BC3DEF"/>
    <w:rsid w:val="00CB7436"/>
    <w:rsid w:val="00CC3804"/>
    <w:rsid w:val="00CE0A3A"/>
    <w:rsid w:val="00D14C48"/>
    <w:rsid w:val="00D30809"/>
    <w:rsid w:val="00D371BB"/>
    <w:rsid w:val="00D448BD"/>
    <w:rsid w:val="00D519E6"/>
    <w:rsid w:val="00D5472B"/>
    <w:rsid w:val="00D75DB9"/>
    <w:rsid w:val="00E0623A"/>
    <w:rsid w:val="00E745B8"/>
    <w:rsid w:val="00E9125A"/>
    <w:rsid w:val="00E947A9"/>
    <w:rsid w:val="00EA140F"/>
    <w:rsid w:val="00ED7A90"/>
    <w:rsid w:val="00EE1373"/>
    <w:rsid w:val="00F014E3"/>
    <w:rsid w:val="00F11471"/>
    <w:rsid w:val="00F231BF"/>
    <w:rsid w:val="00FA6FDD"/>
    <w:rsid w:val="00FB20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591BD8"/>
    <w:rPr>
      <w:rFonts w:ascii="Tahoma" w:hAnsi="Tahoma" w:cs="Tahoma"/>
      <w:sz w:val="16"/>
      <w:szCs w:val="16"/>
    </w:rPr>
  </w:style>
  <w:style w:type="character" w:customStyle="1" w:styleId="BalloonTextChar">
    <w:name w:val="Balloon Text Char"/>
    <w:link w:val="BalloonText"/>
    <w:uiPriority w:val="99"/>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5D6BA1"/>
    <w:pPr>
      <w:autoSpaceDE w:val="0"/>
      <w:autoSpaceDN w:val="0"/>
      <w:adjustRightInd w:val="0"/>
    </w:pPr>
    <w:rPr>
      <w:rFonts w:ascii="Arial" w:eastAsia="Calibri" w:hAnsi="Arial" w:cs="Arial"/>
      <w:color w:val="000000"/>
      <w:sz w:val="24"/>
      <w:szCs w:val="24"/>
      <w:lang w:val="en-US" w:eastAsia="en-US"/>
    </w:rPr>
  </w:style>
  <w:style w:type="paragraph" w:customStyle="1" w:styleId="TableTextBullet">
    <w:name w:val="Table Text Bullet"/>
    <w:rsid w:val="004A2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30" w:line="216" w:lineRule="atLeast"/>
      <w:ind w:left="240" w:hanging="240"/>
    </w:pPr>
    <w:rPr>
      <w:rFonts w:ascii="Utopia" w:hAnsi="Utopia" w:cs="Utopia"/>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591BD8"/>
    <w:rPr>
      <w:rFonts w:ascii="Tahoma" w:hAnsi="Tahoma" w:cs="Tahoma"/>
      <w:sz w:val="16"/>
      <w:szCs w:val="16"/>
    </w:rPr>
  </w:style>
  <w:style w:type="character" w:customStyle="1" w:styleId="BalloonTextChar">
    <w:name w:val="Balloon Text Char"/>
    <w:link w:val="BalloonText"/>
    <w:uiPriority w:val="99"/>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5D6BA1"/>
    <w:pPr>
      <w:autoSpaceDE w:val="0"/>
      <w:autoSpaceDN w:val="0"/>
      <w:adjustRightInd w:val="0"/>
    </w:pPr>
    <w:rPr>
      <w:rFonts w:ascii="Arial" w:eastAsia="Calibri" w:hAnsi="Arial" w:cs="Arial"/>
      <w:color w:val="000000"/>
      <w:sz w:val="24"/>
      <w:szCs w:val="24"/>
      <w:lang w:val="en-US" w:eastAsia="en-US"/>
    </w:rPr>
  </w:style>
  <w:style w:type="paragraph" w:customStyle="1" w:styleId="TableTextBullet">
    <w:name w:val="Table Text Bullet"/>
    <w:rsid w:val="004A2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30" w:line="216" w:lineRule="atLeast"/>
      <w:ind w:left="240" w:hanging="240"/>
    </w:pPr>
    <w:rPr>
      <w:rFonts w:ascii="Utopia" w:hAnsi="Utopia" w:cs="Utopi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235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BLOOD TRANSFUSION SERVICE OF NAMIBIA</vt:lpstr>
    </vt:vector>
  </TitlesOfParts>
  <Company>Private</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TRANSFUSION SERVICE OF NAMIBIA</dc:title>
  <dc:creator>bts</dc:creator>
  <cp:lastModifiedBy>user</cp:lastModifiedBy>
  <cp:revision>16</cp:revision>
  <cp:lastPrinted>2012-03-02T08:13:00Z</cp:lastPrinted>
  <dcterms:created xsi:type="dcterms:W3CDTF">2014-11-25T05:44:00Z</dcterms:created>
  <dcterms:modified xsi:type="dcterms:W3CDTF">2016-04-10T08:25:00Z</dcterms:modified>
</cp:coreProperties>
</file>