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C2" w:rsidRPr="00623985" w:rsidRDefault="000F73C2">
      <w:pPr>
        <w:pStyle w:val="Heading1"/>
        <w:rPr>
          <w:lang w:val="fr-FR"/>
        </w:rPr>
      </w:pPr>
    </w:p>
    <w:p w:rsidR="006F7DF9" w:rsidRDefault="001B6F54">
      <w:pPr>
        <w:jc w:val="center"/>
        <w:rPr>
          <w:b/>
          <w:bCs/>
          <w:lang w:val="fr-FR"/>
        </w:rPr>
      </w:pPr>
      <w:r>
        <w:rPr>
          <w:b/>
          <w:bCs/>
          <w:lang w:val="fr-FR"/>
        </w:rPr>
        <w:t>MODE OPERATOIRE</w:t>
      </w:r>
    </w:p>
    <w:p w:rsidR="001B6F54" w:rsidRPr="00623985" w:rsidRDefault="001B6F54">
      <w:pPr>
        <w:jc w:val="center"/>
        <w:rPr>
          <w:b/>
          <w:bCs/>
          <w:lang w:val="fr-FR"/>
        </w:rPr>
      </w:pPr>
    </w:p>
    <w:p w:rsidR="00EB6BDA" w:rsidRPr="00623985" w:rsidRDefault="00FA0EBD" w:rsidP="00EB6BDA">
      <w:pPr>
        <w:jc w:val="center"/>
        <w:rPr>
          <w:b/>
          <w:bCs/>
          <w:lang w:val="fr-FR"/>
        </w:rPr>
      </w:pPr>
      <w:r w:rsidRPr="00623985">
        <w:rPr>
          <w:b/>
          <w:lang w:val="fr-FR"/>
        </w:rPr>
        <w:t xml:space="preserve">Mesurage d’hémoglobine par usage d’HemoCue </w:t>
      </w:r>
    </w:p>
    <w:p w:rsidR="00B84CE8" w:rsidRPr="00623985" w:rsidRDefault="00B84CE8" w:rsidP="00B84CE8">
      <w:pPr>
        <w:pBdr>
          <w:top w:val="single" w:sz="4" w:space="1" w:color="auto"/>
          <w:left w:val="single" w:sz="4" w:space="4" w:color="auto"/>
          <w:bottom w:val="single" w:sz="4" w:space="1" w:color="auto"/>
          <w:right w:val="single" w:sz="4" w:space="4" w:color="auto"/>
        </w:pBdr>
        <w:spacing w:before="240" w:after="240"/>
        <w:jc w:val="center"/>
        <w:rPr>
          <w:b/>
          <w:bCs/>
          <w:lang w:val="fr-FR"/>
        </w:rPr>
      </w:pPr>
      <w:r w:rsidRPr="00623985">
        <w:rPr>
          <w:b/>
          <w:bCs/>
          <w:lang w:val="fr-FR"/>
        </w:rPr>
        <w:t>Notes</w:t>
      </w:r>
    </w:p>
    <w:p w:rsidR="00B02CED" w:rsidRPr="00623985" w:rsidRDefault="00B02CED" w:rsidP="00B02CED">
      <w:pPr>
        <w:pBdr>
          <w:top w:val="single" w:sz="4" w:space="1" w:color="auto"/>
          <w:left w:val="single" w:sz="4" w:space="4" w:color="auto"/>
          <w:bottom w:val="single" w:sz="4" w:space="1" w:color="auto"/>
          <w:right w:val="single" w:sz="4" w:space="4" w:color="auto"/>
        </w:pBdr>
        <w:spacing w:before="240" w:after="240"/>
        <w:rPr>
          <w:b/>
          <w:bCs/>
          <w:lang w:val="fr-FR"/>
        </w:rPr>
      </w:pPr>
      <w:r w:rsidRPr="00623985">
        <w:rPr>
          <w:lang w:val="fr-FR"/>
        </w:rPr>
        <w:t>Le dépistage d’ Hb des donneurs potentiels peut être fait dans une variété de façons. Dans certains établissements le dépistage se fait par une méthode quantitative simple, comme la méthode de sulfate de cuivre (voir SOP 05). La méthode décrite ici est utilisée pour re-tester les donneurs dont le test de sulfate de cuivre montre un taux d'Hb inférieure à 125 g / L. Dans d'autres établissements la méthode décrite ici peut être utilisé comme test de dépistage initial. Cette procédure doit être adaptée pour se conformer aux exigences locales et aux systèmes de mesurage, réactifs et d'équipements qui sont disponibles pour chaque organisation</w:t>
      </w:r>
    </w:p>
    <w:p w:rsidR="006F7DF9" w:rsidRPr="00623985" w:rsidRDefault="00B02CED" w:rsidP="00C5155E">
      <w:pPr>
        <w:numPr>
          <w:ilvl w:val="0"/>
          <w:numId w:val="1"/>
        </w:numPr>
        <w:spacing w:before="120" w:after="120"/>
        <w:ind w:left="357" w:hanging="357"/>
        <w:jc w:val="both"/>
        <w:rPr>
          <w:b/>
          <w:bCs/>
          <w:lang w:val="fr-FR"/>
        </w:rPr>
      </w:pPr>
      <w:r w:rsidRPr="00623985">
        <w:rPr>
          <w:b/>
          <w:bCs/>
          <w:lang w:val="fr-FR"/>
        </w:rPr>
        <w:t>I</w:t>
      </w:r>
      <w:r w:rsidR="006F7DF9" w:rsidRPr="00623985">
        <w:rPr>
          <w:b/>
          <w:bCs/>
          <w:lang w:val="fr-FR"/>
        </w:rPr>
        <w:t>ntroduction</w:t>
      </w:r>
    </w:p>
    <w:p w:rsidR="004109F0" w:rsidRPr="00623985" w:rsidRDefault="00F04C8C" w:rsidP="004109F0">
      <w:pPr>
        <w:spacing w:before="120" w:after="120"/>
        <w:ind w:left="357"/>
        <w:jc w:val="both"/>
        <w:rPr>
          <w:lang w:val="fr-FR"/>
        </w:rPr>
      </w:pPr>
      <w:r w:rsidRPr="00623985">
        <w:rPr>
          <w:lang w:val="fr-FR"/>
        </w:rPr>
        <w:t>Les standards d’accréditation par étape de la société de l'Afrique de Transfusion Sanguine exige que les donneurs de sang aient un niveau d'hémoglobine (Hb) de 125 g / L ou plus au moment de don</w:t>
      </w:r>
      <w:r w:rsidR="00113C2A" w:rsidRPr="00623985">
        <w:rPr>
          <w:lang w:val="fr-FR"/>
        </w:rPr>
        <w:t>. Afin d'éviter que le donneur ne devienne</w:t>
      </w:r>
      <w:r w:rsidRPr="00623985">
        <w:rPr>
          <w:lang w:val="fr-FR"/>
        </w:rPr>
        <w:t xml:space="preserve"> anémique et pour assurer la conformité à cette norme</w:t>
      </w:r>
      <w:r w:rsidR="00113C2A" w:rsidRPr="00623985">
        <w:rPr>
          <w:lang w:val="fr-FR"/>
        </w:rPr>
        <w:t>,</w:t>
      </w:r>
      <w:r w:rsidRPr="00623985">
        <w:rPr>
          <w:lang w:val="fr-FR"/>
        </w:rPr>
        <w:t xml:space="preserve"> un test quantitatif peut être effectué immédiatement avant le don pour déterminer si les </w:t>
      </w:r>
      <w:r w:rsidR="00D2147B" w:rsidRPr="00623985">
        <w:rPr>
          <w:lang w:val="fr-FR"/>
        </w:rPr>
        <w:t>donneurs d’</w:t>
      </w:r>
      <w:r w:rsidRPr="00623985">
        <w:rPr>
          <w:lang w:val="fr-FR"/>
        </w:rPr>
        <w:t>Hb tombe dessus ou en dessous de ce seuil.</w:t>
      </w:r>
      <w:r w:rsidR="00D2147B" w:rsidRPr="00623985">
        <w:rPr>
          <w:lang w:val="fr-FR"/>
        </w:rPr>
        <w:t xml:space="preserve"> Le dépistage </w:t>
      </w:r>
      <w:r w:rsidRPr="00623985">
        <w:rPr>
          <w:lang w:val="fr-FR"/>
        </w:rPr>
        <w:t xml:space="preserve"> </w:t>
      </w:r>
      <w:r w:rsidR="00D2147B" w:rsidRPr="00623985">
        <w:rPr>
          <w:lang w:val="fr-FR"/>
        </w:rPr>
        <w:t>d’</w:t>
      </w:r>
      <w:r w:rsidRPr="00623985">
        <w:rPr>
          <w:lang w:val="fr-FR"/>
        </w:rPr>
        <w:t xml:space="preserve">Hb en utilisant </w:t>
      </w:r>
      <w:r w:rsidR="00D2147B" w:rsidRPr="00623985">
        <w:rPr>
          <w:lang w:val="fr-FR"/>
        </w:rPr>
        <w:t>l'instrument HemoCue est décrit</w:t>
      </w:r>
      <w:r w:rsidRPr="00623985">
        <w:rPr>
          <w:lang w:val="fr-FR"/>
        </w:rPr>
        <w:t xml:space="preserve"> dans cette procédure. Les</w:t>
      </w:r>
      <w:r w:rsidR="00D2147B" w:rsidRPr="00623985">
        <w:rPr>
          <w:lang w:val="fr-FR"/>
        </w:rPr>
        <w:t xml:space="preserve"> donneurs</w:t>
      </w:r>
      <w:r w:rsidRPr="00623985">
        <w:rPr>
          <w:lang w:val="fr-FR"/>
        </w:rPr>
        <w:t xml:space="preserve"> qui ont des </w:t>
      </w:r>
      <w:r w:rsidR="00D2147B" w:rsidRPr="00623985">
        <w:rPr>
          <w:lang w:val="fr-FR"/>
        </w:rPr>
        <w:t>valeurs</w:t>
      </w:r>
      <w:r w:rsidRPr="00623985">
        <w:rPr>
          <w:lang w:val="fr-FR"/>
        </w:rPr>
        <w:t xml:space="preserve"> d'hémoglobine qui se sont révélées être inférieures à 125 g / L par cette méthode doivent être </w:t>
      </w:r>
      <w:r w:rsidR="004109F0" w:rsidRPr="00623985">
        <w:rPr>
          <w:lang w:val="fr-FR"/>
        </w:rPr>
        <w:t>exclu</w:t>
      </w:r>
      <w:r w:rsidRPr="00623985">
        <w:rPr>
          <w:lang w:val="fr-FR"/>
        </w:rPr>
        <w:t xml:space="preserve"> du don</w:t>
      </w:r>
      <w:r w:rsidR="00D2147B" w:rsidRPr="00623985">
        <w:rPr>
          <w:lang w:val="fr-FR"/>
        </w:rPr>
        <w:t xml:space="preserve">. </w:t>
      </w:r>
    </w:p>
    <w:p w:rsidR="006F7DF9" w:rsidRPr="00623985" w:rsidRDefault="000505BD" w:rsidP="0072372A">
      <w:pPr>
        <w:pStyle w:val="ListParagraph"/>
        <w:numPr>
          <w:ilvl w:val="0"/>
          <w:numId w:val="1"/>
        </w:numPr>
        <w:spacing w:before="120" w:after="120"/>
        <w:jc w:val="both"/>
        <w:rPr>
          <w:b/>
          <w:bCs/>
          <w:lang w:val="fr-FR"/>
        </w:rPr>
      </w:pPr>
      <w:r w:rsidRPr="00623985">
        <w:rPr>
          <w:b/>
          <w:bCs/>
          <w:lang w:val="fr-FR"/>
        </w:rPr>
        <w:t xml:space="preserve">Purpose and </w:t>
      </w:r>
      <w:r w:rsidR="006F7DF9" w:rsidRPr="00623985">
        <w:rPr>
          <w:b/>
          <w:bCs/>
          <w:lang w:val="fr-FR"/>
        </w:rPr>
        <w:t>Scope</w:t>
      </w:r>
    </w:p>
    <w:p w:rsidR="0072372A" w:rsidRPr="00623985" w:rsidRDefault="0072372A" w:rsidP="008620FE">
      <w:pPr>
        <w:ind w:left="360"/>
        <w:jc w:val="both"/>
        <w:rPr>
          <w:lang w:val="fr-FR"/>
        </w:rPr>
      </w:pPr>
      <w:r w:rsidRPr="00623985">
        <w:rPr>
          <w:lang w:val="fr-FR"/>
        </w:rPr>
        <w:t>Cette procédure doit être utilisée par le personnel autorisé dans la clinique de don de sang pour déterminer si un donneur de sang prospective a un taux d'Hb qui lui permettra de faire un don</w:t>
      </w:r>
    </w:p>
    <w:p w:rsidR="00E9125A" w:rsidRPr="00623985" w:rsidRDefault="00AC5353" w:rsidP="00C5155E">
      <w:pPr>
        <w:numPr>
          <w:ilvl w:val="0"/>
          <w:numId w:val="1"/>
        </w:numPr>
        <w:spacing w:before="120" w:after="120"/>
        <w:ind w:left="357" w:hanging="357"/>
        <w:jc w:val="both"/>
        <w:rPr>
          <w:b/>
          <w:bCs/>
          <w:lang w:val="fr-FR"/>
        </w:rPr>
      </w:pPr>
      <w:r w:rsidRPr="00623985">
        <w:rPr>
          <w:b/>
          <w:bCs/>
          <w:lang w:val="fr-FR"/>
        </w:rPr>
        <w:t>Définitions</w:t>
      </w:r>
    </w:p>
    <w:p w:rsidR="00C237FB" w:rsidRPr="00623985" w:rsidRDefault="00C237FB" w:rsidP="00B84CE8">
      <w:pPr>
        <w:numPr>
          <w:ilvl w:val="1"/>
          <w:numId w:val="1"/>
        </w:numPr>
        <w:spacing w:before="120" w:after="120"/>
        <w:ind w:left="788" w:hanging="431"/>
        <w:contextualSpacing/>
        <w:jc w:val="both"/>
        <w:rPr>
          <w:b/>
          <w:bCs/>
          <w:lang w:val="fr-FR"/>
        </w:rPr>
      </w:pPr>
      <w:r w:rsidRPr="00623985">
        <w:rPr>
          <w:b/>
          <w:bCs/>
          <w:lang w:val="fr-FR"/>
        </w:rPr>
        <w:t>Hb</w:t>
      </w:r>
      <w:r w:rsidR="008E24D5" w:rsidRPr="00623985">
        <w:rPr>
          <w:bCs/>
          <w:lang w:val="fr-FR"/>
        </w:rPr>
        <w:t xml:space="preserve"> - Hémoglobine</w:t>
      </w:r>
    </w:p>
    <w:p w:rsidR="006F7DF9" w:rsidRPr="00623985" w:rsidRDefault="00345DCF" w:rsidP="00DA36FE">
      <w:pPr>
        <w:numPr>
          <w:ilvl w:val="1"/>
          <w:numId w:val="1"/>
        </w:numPr>
        <w:spacing w:after="120"/>
        <w:ind w:left="788" w:hanging="431"/>
        <w:jc w:val="both"/>
        <w:rPr>
          <w:b/>
          <w:bCs/>
          <w:lang w:val="fr-FR"/>
        </w:rPr>
      </w:pPr>
      <w:r w:rsidRPr="00623985">
        <w:rPr>
          <w:b/>
          <w:bCs/>
          <w:lang w:val="fr-FR"/>
        </w:rPr>
        <w:t>HemoCue</w:t>
      </w:r>
      <w:r w:rsidRPr="00623985">
        <w:rPr>
          <w:bCs/>
          <w:lang w:val="fr-FR"/>
        </w:rPr>
        <w:t xml:space="preserve"> </w:t>
      </w:r>
      <w:r w:rsidR="000E75A0" w:rsidRPr="00623985">
        <w:rPr>
          <w:bCs/>
          <w:lang w:val="fr-FR"/>
        </w:rPr>
        <w:t>–</w:t>
      </w:r>
      <w:r w:rsidRPr="00623985">
        <w:rPr>
          <w:bCs/>
          <w:lang w:val="fr-FR"/>
        </w:rPr>
        <w:t xml:space="preserve"> </w:t>
      </w:r>
      <w:r w:rsidR="008E24D5" w:rsidRPr="00623985">
        <w:rPr>
          <w:lang w:val="fr-FR"/>
        </w:rPr>
        <w:t>Un instrument portable utilisé pour la détermination quantitative du taux d'hémoglobine à l'aide d'une seule goutte de sang</w:t>
      </w:r>
      <w:r w:rsidR="008E24D5" w:rsidRPr="00623985">
        <w:rPr>
          <w:bCs/>
          <w:lang w:val="fr-FR"/>
        </w:rPr>
        <w:t xml:space="preserve"> </w:t>
      </w:r>
    </w:p>
    <w:p w:rsidR="00DA36FE" w:rsidRPr="00623985" w:rsidRDefault="00DA36FE" w:rsidP="00C5155E">
      <w:pPr>
        <w:numPr>
          <w:ilvl w:val="0"/>
          <w:numId w:val="1"/>
        </w:numPr>
        <w:spacing w:before="120" w:after="120"/>
        <w:ind w:left="357" w:hanging="357"/>
        <w:jc w:val="both"/>
        <w:rPr>
          <w:b/>
          <w:bCs/>
          <w:lang w:val="fr-FR"/>
        </w:rPr>
      </w:pPr>
      <w:r w:rsidRPr="00623985">
        <w:rPr>
          <w:lang w:val="fr-FR"/>
        </w:rPr>
        <w:t>Les matériels et l'équipement requis</w:t>
      </w:r>
    </w:p>
    <w:p w:rsidR="00DA36FE" w:rsidRPr="00623985" w:rsidRDefault="00DA36FE" w:rsidP="00DA36FE">
      <w:pPr>
        <w:spacing w:before="120" w:after="120"/>
        <w:ind w:left="357"/>
        <w:jc w:val="both"/>
        <w:rPr>
          <w:lang w:val="fr-FR"/>
        </w:rPr>
      </w:pPr>
      <w:r w:rsidRPr="00623985">
        <w:rPr>
          <w:lang w:val="fr-FR"/>
        </w:rPr>
        <w:t xml:space="preserve">4.1. Hemocue Calibré </w:t>
      </w:r>
    </w:p>
    <w:p w:rsidR="00DA36FE" w:rsidRPr="00623985" w:rsidRDefault="00DA36FE" w:rsidP="00DA36FE">
      <w:pPr>
        <w:spacing w:before="120" w:after="120"/>
        <w:ind w:left="357"/>
        <w:jc w:val="both"/>
        <w:rPr>
          <w:lang w:val="fr-FR"/>
        </w:rPr>
      </w:pPr>
      <w:r w:rsidRPr="00623985">
        <w:rPr>
          <w:lang w:val="fr-FR"/>
        </w:rPr>
        <w:t>4.2. Désinfectant</w:t>
      </w:r>
    </w:p>
    <w:p w:rsidR="00DA36FE" w:rsidRPr="00623985" w:rsidRDefault="00DA36FE" w:rsidP="00DA36FE">
      <w:pPr>
        <w:spacing w:before="120" w:after="120"/>
        <w:ind w:left="357"/>
        <w:jc w:val="both"/>
        <w:rPr>
          <w:lang w:val="fr-FR"/>
        </w:rPr>
      </w:pPr>
      <w:r w:rsidRPr="00623985">
        <w:rPr>
          <w:lang w:val="fr-FR"/>
        </w:rPr>
        <w:t>4.3. Lancettes</w:t>
      </w:r>
    </w:p>
    <w:p w:rsidR="00DA36FE" w:rsidRPr="00623985" w:rsidRDefault="00DA36FE" w:rsidP="00DA36FE">
      <w:pPr>
        <w:spacing w:before="120" w:after="120"/>
        <w:ind w:left="357"/>
        <w:jc w:val="both"/>
        <w:rPr>
          <w:b/>
          <w:bCs/>
          <w:lang w:val="fr-FR"/>
        </w:rPr>
      </w:pPr>
      <w:r w:rsidRPr="00623985">
        <w:rPr>
          <w:lang w:val="fr-FR"/>
        </w:rPr>
        <w:t>4.4. Compresses/coton</w:t>
      </w:r>
    </w:p>
    <w:p w:rsidR="000505BD" w:rsidRPr="00623985" w:rsidRDefault="00DA36FE" w:rsidP="00C5155E">
      <w:pPr>
        <w:numPr>
          <w:ilvl w:val="0"/>
          <w:numId w:val="1"/>
        </w:numPr>
        <w:spacing w:before="120" w:after="120"/>
        <w:ind w:left="357" w:hanging="357"/>
        <w:jc w:val="both"/>
        <w:rPr>
          <w:bCs/>
          <w:i/>
          <w:lang w:val="fr-FR"/>
        </w:rPr>
      </w:pPr>
      <w:r w:rsidRPr="00623985">
        <w:rPr>
          <w:b/>
          <w:bCs/>
          <w:lang w:val="fr-FR"/>
        </w:rPr>
        <w:t xml:space="preserve">Sécurité </w:t>
      </w:r>
    </w:p>
    <w:p w:rsidR="00790D3A" w:rsidRPr="00623985" w:rsidRDefault="00790D3A" w:rsidP="00790D3A">
      <w:pPr>
        <w:ind w:left="360"/>
        <w:jc w:val="both"/>
        <w:rPr>
          <w:bCs/>
          <w:lang w:val="fr-FR"/>
        </w:rPr>
      </w:pPr>
      <w:r w:rsidRPr="00623985">
        <w:rPr>
          <w:lang w:val="fr-FR"/>
        </w:rPr>
        <w:lastRenderedPageBreak/>
        <w:t>Tout le sang doit être traité comme potentiellement infectieux. Les précautions générales à suivre sont décrites dans le manuel de sécurité</w:t>
      </w:r>
      <w:r w:rsidRPr="00623985">
        <w:rPr>
          <w:bCs/>
          <w:lang w:val="fr-FR"/>
        </w:rPr>
        <w:t xml:space="preserve"> </w:t>
      </w:r>
    </w:p>
    <w:p w:rsidR="000505BD" w:rsidRPr="00623985" w:rsidRDefault="00790D3A" w:rsidP="00790D3A">
      <w:pPr>
        <w:ind w:left="360"/>
        <w:jc w:val="both"/>
        <w:rPr>
          <w:bCs/>
          <w:i/>
          <w:lang w:val="fr-FR"/>
        </w:rPr>
      </w:pPr>
      <w:r w:rsidRPr="00623985">
        <w:rPr>
          <w:b/>
          <w:bCs/>
          <w:lang w:val="fr-FR"/>
        </w:rPr>
        <w:t>Responsa</w:t>
      </w:r>
      <w:r w:rsidR="000505BD" w:rsidRPr="00623985">
        <w:rPr>
          <w:b/>
          <w:bCs/>
          <w:lang w:val="fr-FR"/>
        </w:rPr>
        <w:t>ble</w:t>
      </w:r>
    </w:p>
    <w:p w:rsidR="00551228" w:rsidRPr="00623985" w:rsidRDefault="00551228" w:rsidP="00551228">
      <w:pPr>
        <w:ind w:left="360"/>
        <w:jc w:val="both"/>
        <w:rPr>
          <w:bCs/>
          <w:lang w:val="fr-FR"/>
        </w:rPr>
      </w:pPr>
      <w:r w:rsidRPr="00623985">
        <w:rPr>
          <w:lang w:val="fr-FR"/>
        </w:rPr>
        <w:t>La personne autorisée chargée de tester l’Hb des donneurs potentiels est responsable de toutes les activités décrites dans cette procédure</w:t>
      </w:r>
      <w:r w:rsidRPr="00623985">
        <w:rPr>
          <w:bCs/>
          <w:lang w:val="fr-FR"/>
        </w:rPr>
        <w:t xml:space="preserve"> </w:t>
      </w:r>
    </w:p>
    <w:p w:rsidR="000505BD" w:rsidRPr="00623985" w:rsidRDefault="00005480" w:rsidP="00005480">
      <w:pPr>
        <w:pStyle w:val="ListParagraph"/>
        <w:numPr>
          <w:ilvl w:val="0"/>
          <w:numId w:val="1"/>
        </w:numPr>
        <w:ind w:left="426" w:firstLine="0"/>
        <w:jc w:val="both"/>
        <w:rPr>
          <w:b/>
          <w:bCs/>
          <w:lang w:val="fr-FR"/>
        </w:rPr>
      </w:pPr>
      <w:r w:rsidRPr="00623985">
        <w:rPr>
          <w:b/>
          <w:bCs/>
          <w:lang w:val="fr-FR"/>
        </w:rPr>
        <w:t>Procédure</w:t>
      </w:r>
    </w:p>
    <w:p w:rsidR="000505BD" w:rsidRPr="00623985" w:rsidRDefault="00005480" w:rsidP="000505BD">
      <w:pPr>
        <w:spacing w:before="120" w:after="120"/>
        <w:ind w:left="357"/>
        <w:jc w:val="both"/>
        <w:rPr>
          <w:b/>
          <w:bCs/>
          <w:lang w:val="fr-FR"/>
        </w:rPr>
      </w:pPr>
      <w:r w:rsidRPr="00623985">
        <w:rPr>
          <w:b/>
          <w:bCs/>
          <w:lang w:val="fr-FR"/>
        </w:rPr>
        <w:t>Préparation</w:t>
      </w:r>
      <w:r w:rsidR="00AD6EBA" w:rsidRPr="00623985">
        <w:rPr>
          <w:b/>
          <w:bCs/>
          <w:lang w:val="fr-FR"/>
        </w:rPr>
        <w:t>:</w:t>
      </w:r>
    </w:p>
    <w:p w:rsidR="003A7C4C" w:rsidRPr="00623985" w:rsidRDefault="003A7C4C" w:rsidP="00B84CE8">
      <w:pPr>
        <w:numPr>
          <w:ilvl w:val="1"/>
          <w:numId w:val="1"/>
        </w:numPr>
        <w:spacing w:before="120" w:after="120"/>
        <w:ind w:left="867" w:hanging="510"/>
        <w:contextualSpacing/>
        <w:jc w:val="both"/>
        <w:rPr>
          <w:bCs/>
          <w:lang w:val="fr-FR"/>
        </w:rPr>
      </w:pPr>
      <w:r w:rsidRPr="00623985">
        <w:rPr>
          <w:lang w:val="fr-FR"/>
        </w:rPr>
        <w:t xml:space="preserve">Sur le HemoCue, tirez sur le support de micro-cuvette jusqu'à ce qu'il "clics" </w:t>
      </w:r>
    </w:p>
    <w:p w:rsidR="003F25AC" w:rsidRPr="00623985" w:rsidRDefault="003F25AC" w:rsidP="00B84CE8">
      <w:pPr>
        <w:numPr>
          <w:ilvl w:val="1"/>
          <w:numId w:val="1"/>
        </w:numPr>
        <w:spacing w:before="120" w:after="120"/>
        <w:ind w:left="867" w:hanging="510"/>
        <w:contextualSpacing/>
        <w:jc w:val="both"/>
        <w:rPr>
          <w:bCs/>
          <w:lang w:val="fr-FR"/>
        </w:rPr>
      </w:pPr>
      <w:r w:rsidRPr="00623985">
        <w:rPr>
          <w:lang w:val="fr-FR"/>
        </w:rPr>
        <w:t>Après une courte attente, l'écran affiche "READY".</w:t>
      </w:r>
    </w:p>
    <w:p w:rsidR="00AD6EBA" w:rsidRPr="00623985" w:rsidRDefault="003F25AC" w:rsidP="00B84CE8">
      <w:pPr>
        <w:numPr>
          <w:ilvl w:val="1"/>
          <w:numId w:val="1"/>
        </w:numPr>
        <w:spacing w:before="120" w:after="120"/>
        <w:ind w:left="867" w:hanging="510"/>
        <w:contextualSpacing/>
        <w:jc w:val="both"/>
        <w:rPr>
          <w:bCs/>
          <w:lang w:val="fr-FR"/>
        </w:rPr>
      </w:pPr>
      <w:r w:rsidRPr="00623985">
        <w:rPr>
          <w:bCs/>
          <w:lang w:val="fr-FR"/>
        </w:rPr>
        <w:t xml:space="preserve"> </w:t>
      </w:r>
      <w:r w:rsidR="00262A1E" w:rsidRPr="00623985">
        <w:rPr>
          <w:bCs/>
          <w:lang w:val="fr-FR"/>
        </w:rPr>
        <w:t>Enlevez le micro-cuvette de control de son conteneur et placez</w:t>
      </w:r>
      <w:r w:rsidR="005F4911" w:rsidRPr="00623985">
        <w:rPr>
          <w:bCs/>
          <w:lang w:val="fr-FR"/>
        </w:rPr>
        <w:t>-</w:t>
      </w:r>
      <w:r w:rsidR="00262A1E" w:rsidRPr="00623985">
        <w:rPr>
          <w:bCs/>
          <w:lang w:val="fr-FR"/>
        </w:rPr>
        <w:t xml:space="preserve"> le </w:t>
      </w:r>
      <w:r w:rsidR="00C6565C" w:rsidRPr="00623985">
        <w:rPr>
          <w:bCs/>
          <w:lang w:val="fr-FR"/>
        </w:rPr>
        <w:t>sur le support de</w:t>
      </w:r>
      <w:r w:rsidR="005F4911" w:rsidRPr="00623985">
        <w:rPr>
          <w:bCs/>
          <w:lang w:val="fr-FR"/>
        </w:rPr>
        <w:t xml:space="preserve"> la microcuvette sur l’HemoCue. </w:t>
      </w:r>
      <w:r w:rsidR="00262A1E" w:rsidRPr="00623985">
        <w:rPr>
          <w:bCs/>
          <w:lang w:val="fr-FR"/>
        </w:rPr>
        <w:t xml:space="preserve"> </w:t>
      </w:r>
    </w:p>
    <w:p w:rsidR="00AD6EBA" w:rsidRPr="00623985" w:rsidRDefault="005F4911" w:rsidP="00B84CE8">
      <w:pPr>
        <w:numPr>
          <w:ilvl w:val="1"/>
          <w:numId w:val="1"/>
        </w:numPr>
        <w:spacing w:before="120" w:after="120"/>
        <w:ind w:left="867" w:hanging="510"/>
        <w:contextualSpacing/>
        <w:jc w:val="both"/>
        <w:rPr>
          <w:bCs/>
          <w:lang w:val="fr-FR"/>
        </w:rPr>
      </w:pPr>
      <w:r w:rsidRPr="00623985">
        <w:rPr>
          <w:bCs/>
          <w:lang w:val="fr-FR"/>
        </w:rPr>
        <w:t>Poussez complètement la microcuvette dans sa chambre</w:t>
      </w:r>
      <w:r w:rsidR="00AD6EBA" w:rsidRPr="00623985">
        <w:rPr>
          <w:bCs/>
          <w:lang w:val="fr-FR"/>
        </w:rPr>
        <w:t>.</w:t>
      </w:r>
    </w:p>
    <w:p w:rsidR="00AD6EBA" w:rsidRPr="00623985" w:rsidRDefault="00FA463D" w:rsidP="00B84CE8">
      <w:pPr>
        <w:numPr>
          <w:ilvl w:val="1"/>
          <w:numId w:val="1"/>
        </w:numPr>
        <w:spacing w:before="120" w:after="120"/>
        <w:ind w:left="867" w:hanging="510"/>
        <w:contextualSpacing/>
        <w:jc w:val="both"/>
        <w:rPr>
          <w:bCs/>
          <w:lang w:val="fr-FR"/>
        </w:rPr>
      </w:pPr>
      <w:r w:rsidRPr="00623985">
        <w:rPr>
          <w:lang w:val="fr-FR"/>
        </w:rPr>
        <w:t>Après une courte attente, la valeur de contrôle sera affichée</w:t>
      </w:r>
      <w:r w:rsidRPr="00623985">
        <w:rPr>
          <w:bCs/>
          <w:lang w:val="fr-FR"/>
        </w:rPr>
        <w:t xml:space="preserve">. </w:t>
      </w:r>
      <w:r w:rsidRPr="00623985">
        <w:rPr>
          <w:lang w:val="fr-FR"/>
        </w:rPr>
        <w:t>Enregistrez cette valeur sur le formulaire de contrôle de qualité quotidien</w:t>
      </w:r>
      <w:r w:rsidRPr="00623985">
        <w:rPr>
          <w:bCs/>
          <w:lang w:val="fr-FR"/>
        </w:rPr>
        <w:t xml:space="preserve"> </w:t>
      </w:r>
    </w:p>
    <w:p w:rsidR="00AD6EBA" w:rsidRPr="00623985" w:rsidRDefault="00B74C89" w:rsidP="00B84CE8">
      <w:pPr>
        <w:numPr>
          <w:ilvl w:val="1"/>
          <w:numId w:val="1"/>
        </w:numPr>
        <w:spacing w:before="120" w:after="120"/>
        <w:ind w:left="867" w:hanging="510"/>
        <w:contextualSpacing/>
        <w:jc w:val="both"/>
        <w:rPr>
          <w:bCs/>
          <w:lang w:val="fr-FR"/>
        </w:rPr>
      </w:pPr>
      <w:r w:rsidRPr="00623985">
        <w:rPr>
          <w:lang w:val="fr-FR"/>
        </w:rPr>
        <w:t>Vérifiez que la valeur obtenue est dans la fourchette indiquée sur la carte micro-cuvette contrôle</w:t>
      </w:r>
      <w:r w:rsidRPr="00623985">
        <w:rPr>
          <w:bCs/>
          <w:lang w:val="fr-FR"/>
        </w:rPr>
        <w:t xml:space="preserve"> </w:t>
      </w:r>
    </w:p>
    <w:p w:rsidR="001F0C56" w:rsidRPr="00623985" w:rsidRDefault="001F0C56" w:rsidP="00B84CE8">
      <w:pPr>
        <w:numPr>
          <w:ilvl w:val="2"/>
          <w:numId w:val="1"/>
        </w:numPr>
        <w:spacing w:before="120" w:after="120"/>
        <w:ind w:left="1360" w:hanging="680"/>
        <w:contextualSpacing/>
        <w:jc w:val="both"/>
        <w:rPr>
          <w:b/>
          <w:bCs/>
          <w:lang w:val="fr-FR"/>
        </w:rPr>
      </w:pPr>
      <w:r w:rsidRPr="00623985">
        <w:rPr>
          <w:lang w:val="fr-FR"/>
        </w:rPr>
        <w:t>Si la valeur de contrôle est dans l’intervalle, le HemoCue est prêt à l'emploi</w:t>
      </w:r>
      <w:r w:rsidRPr="00623985">
        <w:rPr>
          <w:bCs/>
          <w:lang w:val="fr-FR"/>
        </w:rPr>
        <w:t xml:space="preserve"> </w:t>
      </w:r>
    </w:p>
    <w:p w:rsidR="00C97615" w:rsidRPr="00623985" w:rsidRDefault="001F0C56" w:rsidP="00C97615">
      <w:pPr>
        <w:numPr>
          <w:ilvl w:val="2"/>
          <w:numId w:val="1"/>
        </w:numPr>
        <w:spacing w:before="120" w:after="120"/>
        <w:ind w:left="1360" w:hanging="680"/>
        <w:contextualSpacing/>
        <w:jc w:val="both"/>
        <w:rPr>
          <w:b/>
          <w:bCs/>
          <w:lang w:val="fr-FR"/>
        </w:rPr>
      </w:pPr>
      <w:r w:rsidRPr="00623985">
        <w:rPr>
          <w:lang w:val="fr-FR"/>
        </w:rPr>
        <w:t>Si la valeur de contrôle est hors de valeur normale, se référer au manuel d'HemoCue pour résoudre le problème</w:t>
      </w:r>
      <w:r w:rsidR="00AD6EBA" w:rsidRPr="00623985">
        <w:rPr>
          <w:bCs/>
          <w:lang w:val="fr-FR"/>
        </w:rPr>
        <w:t xml:space="preserve">. </w:t>
      </w:r>
      <w:r w:rsidR="00C97615" w:rsidRPr="00623985">
        <w:rPr>
          <w:lang w:val="fr-FR"/>
        </w:rPr>
        <w:t>Ne pas utiliser le HemoCue pour déterminer l’Hb du donneur jusqu'à ce que le problème a été résolu</w:t>
      </w:r>
      <w:r w:rsidR="00C97615" w:rsidRPr="00623985">
        <w:rPr>
          <w:bCs/>
          <w:lang w:val="fr-FR"/>
        </w:rPr>
        <w:t xml:space="preserve"> </w:t>
      </w:r>
    </w:p>
    <w:p w:rsidR="00AD6EBA" w:rsidRPr="00623985" w:rsidRDefault="00F71EA3" w:rsidP="00C97615">
      <w:pPr>
        <w:spacing w:before="120" w:after="120"/>
        <w:ind w:left="357"/>
        <w:contextualSpacing/>
        <w:jc w:val="both"/>
        <w:rPr>
          <w:b/>
          <w:bCs/>
          <w:lang w:val="fr-FR"/>
        </w:rPr>
      </w:pPr>
      <w:r w:rsidRPr="00623985">
        <w:rPr>
          <w:b/>
          <w:bCs/>
          <w:lang w:val="fr-FR"/>
        </w:rPr>
        <w:t>Testing:</w:t>
      </w:r>
    </w:p>
    <w:p w:rsidR="00597F2E" w:rsidRPr="001B6F54" w:rsidRDefault="00597F2E" w:rsidP="00F71EA3">
      <w:pPr>
        <w:numPr>
          <w:ilvl w:val="1"/>
          <w:numId w:val="1"/>
        </w:numPr>
        <w:spacing w:before="120" w:after="120"/>
        <w:ind w:left="867" w:hanging="510"/>
        <w:contextualSpacing/>
        <w:jc w:val="both"/>
        <w:rPr>
          <w:bCs/>
          <w:lang w:val="fr-FR"/>
        </w:rPr>
      </w:pPr>
      <w:r w:rsidRPr="001B6F54">
        <w:rPr>
          <w:lang w:val="fr-FR"/>
        </w:rPr>
        <w:t>Confirmer l'identité du donneur à tester.</w:t>
      </w:r>
      <w:r w:rsidRPr="001B6F54">
        <w:rPr>
          <w:bCs/>
          <w:lang w:val="fr-FR"/>
        </w:rPr>
        <w:t xml:space="preserve"> </w:t>
      </w:r>
    </w:p>
    <w:p w:rsidR="00F71EA3" w:rsidRPr="00623985" w:rsidRDefault="00597F2E" w:rsidP="00F71EA3">
      <w:pPr>
        <w:numPr>
          <w:ilvl w:val="1"/>
          <w:numId w:val="1"/>
        </w:numPr>
        <w:spacing w:before="120" w:after="120"/>
        <w:ind w:left="867" w:hanging="510"/>
        <w:contextualSpacing/>
        <w:jc w:val="both"/>
        <w:rPr>
          <w:bCs/>
          <w:lang w:val="fr-FR"/>
        </w:rPr>
      </w:pPr>
      <w:r w:rsidRPr="00623985">
        <w:rPr>
          <w:lang w:val="fr-FR"/>
        </w:rPr>
        <w:t>Expliquez au donneur la procédure et répondre aux questions, qu’il / elle peut avoir</w:t>
      </w:r>
      <w:r w:rsidRPr="00623985">
        <w:rPr>
          <w:bCs/>
          <w:lang w:val="fr-FR"/>
        </w:rPr>
        <w:t xml:space="preserve"> </w:t>
      </w:r>
    </w:p>
    <w:p w:rsidR="006E2B8B" w:rsidRPr="00623985" w:rsidRDefault="006E2B8B" w:rsidP="00F71EA3">
      <w:pPr>
        <w:numPr>
          <w:ilvl w:val="1"/>
          <w:numId w:val="1"/>
        </w:numPr>
        <w:spacing w:before="120" w:after="120"/>
        <w:ind w:left="867" w:hanging="510"/>
        <w:contextualSpacing/>
        <w:jc w:val="both"/>
        <w:rPr>
          <w:bCs/>
          <w:lang w:val="fr-FR"/>
        </w:rPr>
      </w:pPr>
      <w:r w:rsidRPr="00623985">
        <w:rPr>
          <w:lang w:val="fr-FR"/>
        </w:rPr>
        <w:t>Sur le HemoCue, tirez sur le support de micro-cuvette jusqu'à ce qu'il "clics</w:t>
      </w:r>
      <w:r w:rsidRPr="00623985">
        <w:rPr>
          <w:bCs/>
          <w:lang w:val="fr-FR"/>
        </w:rPr>
        <w:t xml:space="preserve"> </w:t>
      </w:r>
    </w:p>
    <w:p w:rsidR="00A74F2F" w:rsidRPr="00623985" w:rsidRDefault="00A74F2F" w:rsidP="00F71EA3">
      <w:pPr>
        <w:numPr>
          <w:ilvl w:val="1"/>
          <w:numId w:val="1"/>
        </w:numPr>
        <w:spacing w:before="120" w:after="120"/>
        <w:ind w:left="867" w:hanging="510"/>
        <w:contextualSpacing/>
        <w:jc w:val="both"/>
        <w:rPr>
          <w:bCs/>
          <w:lang w:val="fr-FR"/>
        </w:rPr>
      </w:pPr>
      <w:r w:rsidRPr="001B6F54">
        <w:rPr>
          <w:lang w:val="fr-FR"/>
        </w:rPr>
        <w:t>Après une courte attente, l'écran affiche "READY".</w:t>
      </w:r>
    </w:p>
    <w:p w:rsidR="00332CAF" w:rsidRPr="00623985" w:rsidRDefault="00A74F2F" w:rsidP="00F71EA3">
      <w:pPr>
        <w:numPr>
          <w:ilvl w:val="1"/>
          <w:numId w:val="1"/>
        </w:numPr>
        <w:spacing w:before="120" w:after="120"/>
        <w:ind w:left="867" w:hanging="510"/>
        <w:contextualSpacing/>
        <w:jc w:val="both"/>
        <w:rPr>
          <w:bCs/>
          <w:lang w:val="fr-FR"/>
        </w:rPr>
      </w:pPr>
      <w:r w:rsidRPr="00623985">
        <w:rPr>
          <w:bCs/>
          <w:lang w:val="fr-FR"/>
        </w:rPr>
        <w:t xml:space="preserve"> </w:t>
      </w:r>
      <w:r w:rsidR="00332CAF" w:rsidRPr="00623985">
        <w:rPr>
          <w:lang w:val="fr-FR"/>
        </w:rPr>
        <w:t>Enlevez le micro-cuvette de son conteneur scellé</w:t>
      </w:r>
      <w:r w:rsidR="00332CAF" w:rsidRPr="00623985">
        <w:rPr>
          <w:bCs/>
          <w:lang w:val="fr-FR"/>
        </w:rPr>
        <w:t xml:space="preserve"> </w:t>
      </w:r>
    </w:p>
    <w:p w:rsidR="00382DA1" w:rsidRPr="00623985" w:rsidRDefault="00382DA1" w:rsidP="00F71EA3">
      <w:pPr>
        <w:numPr>
          <w:ilvl w:val="1"/>
          <w:numId w:val="1"/>
        </w:numPr>
        <w:spacing w:before="120" w:after="120"/>
        <w:ind w:left="867" w:hanging="510"/>
        <w:contextualSpacing/>
        <w:jc w:val="both"/>
        <w:rPr>
          <w:bCs/>
          <w:lang w:val="fr-FR"/>
        </w:rPr>
      </w:pPr>
      <w:r w:rsidRPr="00623985">
        <w:rPr>
          <w:lang w:val="fr-FR"/>
        </w:rPr>
        <w:t>Re-sceller le conteneur de micro-cuvette pour garder les cuves restantes sec</w:t>
      </w:r>
      <w:r w:rsidRPr="00623985">
        <w:rPr>
          <w:bCs/>
          <w:lang w:val="fr-FR"/>
        </w:rPr>
        <w:t xml:space="preserve"> </w:t>
      </w:r>
    </w:p>
    <w:p w:rsidR="00536FD5" w:rsidRPr="00623985" w:rsidRDefault="00582028" w:rsidP="00F71EA3">
      <w:pPr>
        <w:numPr>
          <w:ilvl w:val="1"/>
          <w:numId w:val="1"/>
        </w:numPr>
        <w:spacing w:before="120" w:after="120"/>
        <w:ind w:left="867" w:hanging="510"/>
        <w:contextualSpacing/>
        <w:jc w:val="both"/>
        <w:rPr>
          <w:bCs/>
          <w:lang w:val="fr-FR"/>
        </w:rPr>
      </w:pPr>
      <w:r w:rsidRPr="00623985">
        <w:rPr>
          <w:lang w:val="fr-FR"/>
        </w:rPr>
        <w:t>Sélectionnez le doigt sur lequel le sang doit être</w:t>
      </w:r>
      <w:r w:rsidR="00F71EA3" w:rsidRPr="00623985">
        <w:rPr>
          <w:bCs/>
          <w:lang w:val="fr-FR"/>
        </w:rPr>
        <w:t xml:space="preserve">. </w:t>
      </w:r>
      <w:r w:rsidR="00536FD5" w:rsidRPr="00623985">
        <w:rPr>
          <w:lang w:val="fr-FR"/>
        </w:rPr>
        <w:t>En règle générale le doit annulaire de la main non dominante doit être utilisé, et le sang recueilli à partir du côté du bout des doigts plutôt que le centre</w:t>
      </w:r>
      <w:r w:rsidR="00536FD5" w:rsidRPr="00623985">
        <w:rPr>
          <w:bCs/>
          <w:lang w:val="fr-FR"/>
        </w:rPr>
        <w:t xml:space="preserve"> </w:t>
      </w:r>
    </w:p>
    <w:p w:rsidR="00661055" w:rsidRPr="00623985" w:rsidRDefault="00661055" w:rsidP="00F71EA3">
      <w:pPr>
        <w:numPr>
          <w:ilvl w:val="1"/>
          <w:numId w:val="1"/>
        </w:numPr>
        <w:spacing w:before="120" w:after="120"/>
        <w:ind w:left="867" w:hanging="510"/>
        <w:contextualSpacing/>
        <w:jc w:val="both"/>
        <w:rPr>
          <w:bCs/>
          <w:lang w:val="fr-FR"/>
        </w:rPr>
      </w:pPr>
      <w:r w:rsidRPr="00623985">
        <w:rPr>
          <w:lang w:val="fr-FR"/>
        </w:rPr>
        <w:t>Nettoyez le doigt sélectionné avec un tampon imprégné d’un désinfectant</w:t>
      </w:r>
      <w:r w:rsidRPr="00623985">
        <w:rPr>
          <w:bCs/>
          <w:lang w:val="fr-FR"/>
        </w:rPr>
        <w:t xml:space="preserve"> </w:t>
      </w:r>
    </w:p>
    <w:p w:rsidR="00F71EA3" w:rsidRPr="00623985" w:rsidRDefault="005F1378" w:rsidP="00F71EA3">
      <w:pPr>
        <w:numPr>
          <w:ilvl w:val="1"/>
          <w:numId w:val="1"/>
        </w:numPr>
        <w:spacing w:before="120" w:after="120"/>
        <w:ind w:left="867" w:hanging="510"/>
        <w:contextualSpacing/>
        <w:jc w:val="both"/>
        <w:rPr>
          <w:bCs/>
          <w:lang w:val="fr-FR"/>
        </w:rPr>
      </w:pPr>
      <w:r w:rsidRPr="00623985">
        <w:rPr>
          <w:lang w:val="fr-FR"/>
        </w:rPr>
        <w:t>Laisser le doigt sécher</w:t>
      </w:r>
      <w:r w:rsidR="00F71EA3" w:rsidRPr="00623985">
        <w:rPr>
          <w:bCs/>
          <w:lang w:val="fr-FR"/>
        </w:rPr>
        <w:t>.</w:t>
      </w:r>
    </w:p>
    <w:p w:rsidR="00F71EA3" w:rsidRPr="00623985" w:rsidRDefault="007A2243" w:rsidP="00F71EA3">
      <w:pPr>
        <w:numPr>
          <w:ilvl w:val="1"/>
          <w:numId w:val="1"/>
        </w:numPr>
        <w:spacing w:before="120" w:after="120"/>
        <w:ind w:left="867" w:hanging="510"/>
        <w:contextualSpacing/>
        <w:jc w:val="both"/>
        <w:rPr>
          <w:bCs/>
          <w:lang w:val="fr-FR"/>
        </w:rPr>
      </w:pPr>
      <w:r w:rsidRPr="00623985">
        <w:rPr>
          <w:lang w:val="fr-FR"/>
        </w:rPr>
        <w:t>Piquer le doigt avec une lancette</w:t>
      </w:r>
      <w:r w:rsidR="00F71EA3" w:rsidRPr="00623985">
        <w:rPr>
          <w:bCs/>
          <w:lang w:val="fr-FR"/>
        </w:rPr>
        <w:t xml:space="preserve">. </w:t>
      </w:r>
      <w:r w:rsidRPr="00623985">
        <w:rPr>
          <w:lang w:val="fr-FR"/>
        </w:rPr>
        <w:t xml:space="preserve">Jeter la lancette dans la boite à objet tranchant </w:t>
      </w:r>
    </w:p>
    <w:p w:rsidR="00C731E3" w:rsidRPr="00623985" w:rsidRDefault="00C731E3" w:rsidP="00ED1F0E">
      <w:pPr>
        <w:numPr>
          <w:ilvl w:val="1"/>
          <w:numId w:val="1"/>
        </w:numPr>
        <w:spacing w:before="120" w:after="120"/>
        <w:ind w:left="867" w:hanging="510"/>
        <w:contextualSpacing/>
        <w:jc w:val="both"/>
        <w:rPr>
          <w:bCs/>
          <w:lang w:val="fr-FR"/>
        </w:rPr>
      </w:pPr>
      <w:r w:rsidRPr="00623985">
        <w:rPr>
          <w:lang w:val="fr-FR"/>
        </w:rPr>
        <w:t>Essuyez les deux premières gouttes de sang avec un tampon</w:t>
      </w:r>
      <w:r w:rsidRPr="00623985">
        <w:rPr>
          <w:bCs/>
          <w:lang w:val="fr-FR"/>
        </w:rPr>
        <w:t xml:space="preserve"> </w:t>
      </w:r>
    </w:p>
    <w:p w:rsidR="00CF533C" w:rsidRPr="00623985" w:rsidRDefault="00F60B02" w:rsidP="00ED1F0E">
      <w:pPr>
        <w:numPr>
          <w:ilvl w:val="1"/>
          <w:numId w:val="1"/>
        </w:numPr>
        <w:spacing w:before="120" w:after="120"/>
        <w:ind w:left="867" w:hanging="510"/>
        <w:contextualSpacing/>
        <w:jc w:val="both"/>
        <w:rPr>
          <w:bCs/>
          <w:lang w:val="fr-FR"/>
        </w:rPr>
      </w:pPr>
      <w:r w:rsidRPr="00623985">
        <w:rPr>
          <w:lang w:val="fr-FR"/>
        </w:rPr>
        <w:t>Lorsque la troisième goutte est assez grand, remplir un micro-cuvette propre avec du sang</w:t>
      </w:r>
      <w:r w:rsidR="00F71EA3" w:rsidRPr="00623985">
        <w:rPr>
          <w:bCs/>
          <w:lang w:val="fr-FR"/>
        </w:rPr>
        <w:t xml:space="preserve">. </w:t>
      </w:r>
      <w:r w:rsidR="00CF533C" w:rsidRPr="00623985">
        <w:rPr>
          <w:lang w:val="fr-FR"/>
        </w:rPr>
        <w:t>Tenez la micro-cuvette avec un angle léger pour encourager le flux</w:t>
      </w:r>
      <w:r w:rsidR="00CF533C" w:rsidRPr="00623985">
        <w:rPr>
          <w:bCs/>
          <w:lang w:val="fr-FR"/>
        </w:rPr>
        <w:t xml:space="preserve"> </w:t>
      </w:r>
    </w:p>
    <w:p w:rsidR="00F71EA3" w:rsidRPr="00623985" w:rsidRDefault="006E255C" w:rsidP="00ED1F0E">
      <w:pPr>
        <w:numPr>
          <w:ilvl w:val="1"/>
          <w:numId w:val="1"/>
        </w:numPr>
        <w:spacing w:before="120" w:after="120"/>
        <w:ind w:left="867" w:hanging="510"/>
        <w:contextualSpacing/>
        <w:jc w:val="both"/>
        <w:rPr>
          <w:bCs/>
          <w:lang w:val="fr-FR"/>
        </w:rPr>
      </w:pPr>
      <w:r w:rsidRPr="00623985">
        <w:rPr>
          <w:lang w:val="fr-FR"/>
        </w:rPr>
        <w:t>Ne pas réessayer de remplir une micro-cuvette partiellement remplie car de bulles seront introduits dans la chambre</w:t>
      </w:r>
      <w:r w:rsidRPr="00623985">
        <w:rPr>
          <w:bCs/>
          <w:lang w:val="fr-FR"/>
        </w:rPr>
        <w:t xml:space="preserve"> </w:t>
      </w:r>
    </w:p>
    <w:p w:rsidR="00F71EA3" w:rsidRPr="00623985" w:rsidRDefault="004D77C3" w:rsidP="00F764C2">
      <w:pPr>
        <w:numPr>
          <w:ilvl w:val="2"/>
          <w:numId w:val="1"/>
        </w:numPr>
        <w:spacing w:before="120" w:after="120"/>
        <w:contextualSpacing/>
        <w:jc w:val="both"/>
        <w:rPr>
          <w:bCs/>
          <w:lang w:val="fr-FR"/>
        </w:rPr>
      </w:pPr>
      <w:r w:rsidRPr="00623985">
        <w:rPr>
          <w:lang w:val="fr-FR"/>
        </w:rPr>
        <w:t>Essuyer tout excès de sang sur les côtés de micro-cuvettes avec un coton propre</w:t>
      </w:r>
      <w:r w:rsidR="00F71EA3" w:rsidRPr="00623985">
        <w:rPr>
          <w:bCs/>
          <w:lang w:val="fr-FR"/>
        </w:rPr>
        <w:t xml:space="preserve">. </w:t>
      </w:r>
      <w:r w:rsidR="004C3B2E" w:rsidRPr="00623985">
        <w:rPr>
          <w:lang w:val="fr-FR"/>
        </w:rPr>
        <w:t>Ne pas essuyer l'avant ou l'extrémité de la micro-cuvette afin que le sang ne soit tiré hors de la chambre de test</w:t>
      </w:r>
      <w:r w:rsidR="004C3B2E" w:rsidRPr="00623985">
        <w:rPr>
          <w:bCs/>
          <w:lang w:val="fr-FR"/>
        </w:rPr>
        <w:t xml:space="preserve"> </w:t>
      </w:r>
    </w:p>
    <w:p w:rsidR="00E26259" w:rsidRPr="00623985" w:rsidRDefault="00E26259" w:rsidP="00B84CE8">
      <w:pPr>
        <w:numPr>
          <w:ilvl w:val="2"/>
          <w:numId w:val="1"/>
        </w:numPr>
        <w:tabs>
          <w:tab w:val="num" w:pos="1418"/>
        </w:tabs>
        <w:spacing w:before="120" w:after="120"/>
        <w:ind w:left="1418" w:hanging="698"/>
        <w:contextualSpacing/>
        <w:jc w:val="both"/>
        <w:rPr>
          <w:bCs/>
          <w:lang w:val="fr-FR"/>
        </w:rPr>
      </w:pPr>
      <w:r w:rsidRPr="00623985">
        <w:rPr>
          <w:lang w:val="fr-FR"/>
        </w:rPr>
        <w:t xml:space="preserve">Si des bulles d'air sont présents dans la micro-cuvette remplie, le test doit être jeté. </w:t>
      </w:r>
      <w:r w:rsidRPr="00623985">
        <w:t>Prélever un nouveau spécimen dans une micro-cuvette propre</w:t>
      </w:r>
      <w:r w:rsidRPr="00623985">
        <w:rPr>
          <w:bCs/>
        </w:rPr>
        <w:t xml:space="preserve"> </w:t>
      </w:r>
    </w:p>
    <w:p w:rsidR="00F71EA3" w:rsidRPr="00623985" w:rsidRDefault="00AF05FF" w:rsidP="00B84CE8">
      <w:pPr>
        <w:numPr>
          <w:ilvl w:val="2"/>
          <w:numId w:val="1"/>
        </w:numPr>
        <w:tabs>
          <w:tab w:val="num" w:pos="1418"/>
        </w:tabs>
        <w:spacing w:before="120" w:after="120"/>
        <w:ind w:left="1418" w:hanging="698"/>
        <w:contextualSpacing/>
        <w:jc w:val="both"/>
        <w:rPr>
          <w:bCs/>
          <w:lang w:val="fr-FR"/>
        </w:rPr>
      </w:pPr>
      <w:r w:rsidRPr="00623985">
        <w:rPr>
          <w:lang w:val="fr-FR"/>
        </w:rPr>
        <w:lastRenderedPageBreak/>
        <w:t>Placer la micro-cuvette remplie dans le support de micro-cuvette</w:t>
      </w:r>
      <w:r w:rsidR="00F71EA3" w:rsidRPr="00623985">
        <w:rPr>
          <w:bCs/>
          <w:lang w:val="fr-FR"/>
        </w:rPr>
        <w:t>.</w:t>
      </w:r>
    </w:p>
    <w:p w:rsidR="00F71EA3" w:rsidRPr="00623985" w:rsidRDefault="00AF05FF" w:rsidP="00B84CE8">
      <w:pPr>
        <w:numPr>
          <w:ilvl w:val="2"/>
          <w:numId w:val="1"/>
        </w:numPr>
        <w:tabs>
          <w:tab w:val="num" w:pos="1418"/>
        </w:tabs>
        <w:spacing w:before="120" w:after="120"/>
        <w:ind w:left="1418" w:hanging="698"/>
        <w:contextualSpacing/>
        <w:jc w:val="both"/>
        <w:rPr>
          <w:bCs/>
          <w:lang w:val="fr-FR"/>
        </w:rPr>
      </w:pPr>
      <w:r w:rsidRPr="00623985">
        <w:rPr>
          <w:lang w:val="fr-FR"/>
        </w:rPr>
        <w:t>Poussez le support de m</w:t>
      </w:r>
      <w:r w:rsidR="0075650A" w:rsidRPr="00623985">
        <w:rPr>
          <w:lang w:val="fr-FR"/>
        </w:rPr>
        <w:t>icro-cuvette pleinement dans l’</w:t>
      </w:r>
      <w:r w:rsidRPr="00623985">
        <w:rPr>
          <w:lang w:val="fr-FR"/>
        </w:rPr>
        <w:t>HemoCue</w:t>
      </w:r>
      <w:r w:rsidR="00F71EA3" w:rsidRPr="00623985">
        <w:rPr>
          <w:bCs/>
          <w:lang w:val="fr-FR"/>
        </w:rPr>
        <w:t>.</w:t>
      </w:r>
    </w:p>
    <w:p w:rsidR="00F71EA3" w:rsidRPr="00623985" w:rsidRDefault="0075650A" w:rsidP="00B84CE8">
      <w:pPr>
        <w:numPr>
          <w:ilvl w:val="2"/>
          <w:numId w:val="1"/>
        </w:numPr>
        <w:tabs>
          <w:tab w:val="num" w:pos="1418"/>
        </w:tabs>
        <w:spacing w:before="120" w:after="120"/>
        <w:ind w:left="1418" w:hanging="698"/>
        <w:contextualSpacing/>
        <w:jc w:val="both"/>
        <w:rPr>
          <w:bCs/>
        </w:rPr>
      </w:pPr>
      <w:r w:rsidRPr="00623985">
        <w:rPr>
          <w:lang w:val="fr-FR"/>
        </w:rPr>
        <w:t xml:space="preserve">L'écran affiche "MESURE", et après une courte attente la valeur </w:t>
      </w:r>
      <w:r w:rsidR="0031244D" w:rsidRPr="00623985">
        <w:rPr>
          <w:lang w:val="fr-FR"/>
        </w:rPr>
        <w:t>d’</w:t>
      </w:r>
      <w:r w:rsidRPr="00623985">
        <w:rPr>
          <w:lang w:val="fr-FR"/>
        </w:rPr>
        <w:t xml:space="preserve">Hb de </w:t>
      </w:r>
      <w:r w:rsidR="0031244D" w:rsidRPr="00623985">
        <w:rPr>
          <w:lang w:val="fr-FR"/>
        </w:rPr>
        <w:t>l’échantillon</w:t>
      </w:r>
      <w:r w:rsidRPr="00623985">
        <w:rPr>
          <w:lang w:val="fr-FR"/>
        </w:rPr>
        <w:t xml:space="preserve"> sera affiché</w:t>
      </w:r>
      <w:r w:rsidR="00F71EA3" w:rsidRPr="00623985">
        <w:rPr>
          <w:bCs/>
          <w:lang w:val="fr-FR"/>
        </w:rPr>
        <w:t>.</w:t>
      </w:r>
      <w:r w:rsidR="00FE4762" w:rsidRPr="00623985">
        <w:rPr>
          <w:bCs/>
          <w:lang w:val="fr-FR"/>
        </w:rPr>
        <w:t xml:space="preserve"> </w:t>
      </w:r>
      <w:r w:rsidR="00FE4762" w:rsidRPr="00623985">
        <w:t>Enregistrez cette valeur sur</w:t>
      </w:r>
      <w:r w:rsidR="00FE4762" w:rsidRPr="00623985">
        <w:rPr>
          <w:bCs/>
        </w:rPr>
        <w:t xml:space="preserve"> le questionnaire medical </w:t>
      </w:r>
    </w:p>
    <w:p w:rsidR="00D203D6" w:rsidRPr="00623985" w:rsidRDefault="00D203D6" w:rsidP="00ED1F0E">
      <w:pPr>
        <w:numPr>
          <w:ilvl w:val="2"/>
          <w:numId w:val="1"/>
        </w:numPr>
        <w:tabs>
          <w:tab w:val="num" w:pos="792"/>
          <w:tab w:val="num" w:pos="1418"/>
        </w:tabs>
        <w:spacing w:before="120" w:after="120"/>
        <w:ind w:left="357" w:hanging="697"/>
        <w:jc w:val="both"/>
        <w:rPr>
          <w:b/>
          <w:bCs/>
          <w:lang w:val="fr-FR"/>
        </w:rPr>
      </w:pPr>
      <w:r w:rsidRPr="00623985">
        <w:rPr>
          <w:lang w:val="fr-FR"/>
        </w:rPr>
        <w:t xml:space="preserve">Jeter la micro-cuvette dans un conteneur à déchets biologiques </w:t>
      </w:r>
    </w:p>
    <w:p w:rsidR="00F71EA3" w:rsidRPr="00623985" w:rsidRDefault="00D203D6" w:rsidP="00D203D6">
      <w:pPr>
        <w:tabs>
          <w:tab w:val="num" w:pos="792"/>
        </w:tabs>
        <w:spacing w:before="120" w:after="120"/>
        <w:ind w:left="357"/>
        <w:jc w:val="both"/>
        <w:rPr>
          <w:b/>
          <w:bCs/>
          <w:lang w:val="fr-FR"/>
        </w:rPr>
      </w:pPr>
      <w:r w:rsidRPr="00623985">
        <w:rPr>
          <w:b/>
          <w:bCs/>
          <w:lang w:val="fr-FR"/>
        </w:rPr>
        <w:t>Interprétation de résultats</w:t>
      </w:r>
      <w:r w:rsidR="00ED1F0E" w:rsidRPr="00623985">
        <w:rPr>
          <w:b/>
          <w:bCs/>
          <w:lang w:val="fr-FR"/>
        </w:rPr>
        <w:t>:</w:t>
      </w:r>
    </w:p>
    <w:p w:rsidR="00F71EA3" w:rsidRPr="00623985" w:rsidRDefault="00FB517C" w:rsidP="00ED1F0E">
      <w:pPr>
        <w:numPr>
          <w:ilvl w:val="1"/>
          <w:numId w:val="1"/>
        </w:numPr>
        <w:spacing w:before="120" w:after="120"/>
        <w:ind w:left="867" w:hanging="510"/>
        <w:contextualSpacing/>
        <w:jc w:val="both"/>
        <w:rPr>
          <w:bCs/>
          <w:lang w:val="fr-FR"/>
        </w:rPr>
      </w:pPr>
      <w:r w:rsidRPr="00623985">
        <w:rPr>
          <w:lang w:val="fr-FR"/>
        </w:rPr>
        <w:t xml:space="preserve">Si l'hémoglobine est de 12,5 g / dl ou plus, le donneur peut faire un don de sang </w:t>
      </w:r>
      <w:r w:rsidRPr="00623985">
        <w:rPr>
          <w:bCs/>
          <w:lang w:val="fr-FR"/>
        </w:rPr>
        <w:t xml:space="preserve"> </w:t>
      </w:r>
    </w:p>
    <w:p w:rsidR="00F71EA3" w:rsidRPr="00623985" w:rsidRDefault="009852C1" w:rsidP="00B84CE8">
      <w:pPr>
        <w:numPr>
          <w:ilvl w:val="1"/>
          <w:numId w:val="1"/>
        </w:numPr>
        <w:tabs>
          <w:tab w:val="num" w:pos="1418"/>
        </w:tabs>
        <w:spacing w:after="120"/>
        <w:ind w:left="867" w:hanging="510"/>
        <w:jc w:val="both"/>
        <w:rPr>
          <w:b/>
          <w:bCs/>
          <w:lang w:val="fr-FR"/>
        </w:rPr>
      </w:pPr>
      <w:r w:rsidRPr="00623985">
        <w:rPr>
          <w:lang w:val="fr-FR"/>
        </w:rPr>
        <w:t>Si l'hémoglobine est inférieure à 12,5 g / dl, le donneur ne peut PAS être saigné</w:t>
      </w:r>
      <w:r w:rsidRPr="00623985">
        <w:rPr>
          <w:bCs/>
          <w:lang w:val="fr-FR"/>
        </w:rPr>
        <w:t xml:space="preserve"> </w:t>
      </w:r>
    </w:p>
    <w:p w:rsidR="000505BD" w:rsidRPr="00623985" w:rsidRDefault="00297E0D" w:rsidP="00111185">
      <w:pPr>
        <w:numPr>
          <w:ilvl w:val="0"/>
          <w:numId w:val="1"/>
        </w:numPr>
        <w:spacing w:before="120" w:after="120"/>
        <w:ind w:left="357"/>
        <w:jc w:val="both"/>
        <w:rPr>
          <w:bCs/>
          <w:i/>
          <w:lang w:val="fr-FR"/>
        </w:rPr>
      </w:pPr>
      <w:r w:rsidRPr="00623985">
        <w:rPr>
          <w:b/>
          <w:bCs/>
          <w:lang w:val="fr-FR"/>
        </w:rPr>
        <w:t>Dossier</w:t>
      </w:r>
      <w:r w:rsidR="000505BD" w:rsidRPr="00623985">
        <w:rPr>
          <w:b/>
          <w:bCs/>
          <w:lang w:val="fr-FR"/>
        </w:rPr>
        <w:t xml:space="preserve"> and </w:t>
      </w:r>
      <w:r w:rsidRPr="00623985">
        <w:rPr>
          <w:b/>
          <w:bCs/>
          <w:lang w:val="fr-FR"/>
        </w:rPr>
        <w:t>formulaire</w:t>
      </w:r>
    </w:p>
    <w:p w:rsidR="00623985" w:rsidRPr="00623985" w:rsidRDefault="00623985" w:rsidP="00623985">
      <w:pPr>
        <w:spacing w:before="120" w:after="120"/>
        <w:ind w:left="357"/>
        <w:jc w:val="both"/>
        <w:rPr>
          <w:lang w:val="fr-FR"/>
        </w:rPr>
      </w:pPr>
      <w:r w:rsidRPr="00623985">
        <w:rPr>
          <w:lang w:val="fr-FR"/>
        </w:rPr>
        <w:t xml:space="preserve">Les dossiers générés par cette procédure doivent être conservées dans le respect des procédures associées. </w:t>
      </w:r>
    </w:p>
    <w:p w:rsidR="000505BD" w:rsidRPr="00623985" w:rsidRDefault="000505BD" w:rsidP="00623985">
      <w:pPr>
        <w:spacing w:before="120" w:after="120"/>
        <w:ind w:left="357"/>
        <w:jc w:val="both"/>
        <w:rPr>
          <w:b/>
          <w:bCs/>
          <w:lang w:val="fr-FR"/>
        </w:rPr>
      </w:pPr>
      <w:r w:rsidRPr="00623985">
        <w:rPr>
          <w:b/>
          <w:bCs/>
          <w:lang w:val="fr-FR"/>
        </w:rPr>
        <w:t>References</w:t>
      </w:r>
    </w:p>
    <w:p w:rsidR="000E75A0" w:rsidRPr="00623985" w:rsidRDefault="000E75A0" w:rsidP="00111185">
      <w:pPr>
        <w:numPr>
          <w:ilvl w:val="1"/>
          <w:numId w:val="1"/>
        </w:numPr>
        <w:spacing w:before="120" w:after="120"/>
        <w:ind w:left="867" w:hanging="510"/>
        <w:jc w:val="both"/>
        <w:rPr>
          <w:bCs/>
          <w:lang w:val="fr-FR"/>
        </w:rPr>
      </w:pPr>
      <w:r w:rsidRPr="001B6F54">
        <w:rPr>
          <w:bCs/>
        </w:rPr>
        <w:t xml:space="preserve">Quality evaluation of four hemoglobin screening methods in a blood donor setting along with their comparative cost analysis in an Indian scenario. </w:t>
      </w:r>
      <w:r w:rsidRPr="00623985">
        <w:rPr>
          <w:bCs/>
          <w:lang w:val="fr-FR"/>
        </w:rPr>
        <w:t>Asian J Transfus Sci. Jul 2009; 3(2) 66-69.</w:t>
      </w:r>
    </w:p>
    <w:p w:rsidR="000505BD" w:rsidRPr="00623985" w:rsidRDefault="00623985" w:rsidP="00111185">
      <w:pPr>
        <w:numPr>
          <w:ilvl w:val="0"/>
          <w:numId w:val="1"/>
        </w:numPr>
        <w:spacing w:before="120" w:after="120"/>
        <w:ind w:left="357"/>
        <w:jc w:val="both"/>
        <w:rPr>
          <w:b/>
          <w:bCs/>
          <w:lang w:val="fr-FR"/>
        </w:rPr>
      </w:pPr>
      <w:r w:rsidRPr="00623985">
        <w:rPr>
          <w:b/>
          <w:bCs/>
          <w:lang w:val="fr-FR"/>
        </w:rPr>
        <w:t>Sommaire de Revision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1548"/>
        <w:gridCol w:w="2866"/>
        <w:gridCol w:w="2505"/>
      </w:tblGrid>
      <w:tr w:rsidR="00623985" w:rsidRPr="00623985" w:rsidTr="00CB7436">
        <w:tc>
          <w:tcPr>
            <w:tcW w:w="1403" w:type="dxa"/>
            <w:vAlign w:val="center"/>
          </w:tcPr>
          <w:p w:rsidR="002615D5" w:rsidRPr="00623985" w:rsidRDefault="00623985" w:rsidP="00623985">
            <w:pPr>
              <w:tabs>
                <w:tab w:val="left" w:pos="567"/>
              </w:tabs>
              <w:jc w:val="center"/>
              <w:rPr>
                <w:b/>
                <w:bCs/>
                <w:lang w:val="fr-FR"/>
              </w:rPr>
            </w:pPr>
            <w:r w:rsidRPr="00623985">
              <w:rPr>
                <w:b/>
                <w:bCs/>
                <w:lang w:val="fr-FR"/>
              </w:rPr>
              <w:t xml:space="preserve">NUMERO DE </w:t>
            </w:r>
            <w:r w:rsidR="002615D5" w:rsidRPr="00623985">
              <w:rPr>
                <w:b/>
                <w:bCs/>
                <w:lang w:val="fr-FR"/>
              </w:rPr>
              <w:t>REVISION</w:t>
            </w:r>
          </w:p>
        </w:tc>
        <w:tc>
          <w:tcPr>
            <w:tcW w:w="1548" w:type="dxa"/>
            <w:vAlign w:val="center"/>
          </w:tcPr>
          <w:p w:rsidR="002615D5" w:rsidRPr="00623985" w:rsidRDefault="002615D5" w:rsidP="002615D5">
            <w:pPr>
              <w:tabs>
                <w:tab w:val="left" w:pos="567"/>
              </w:tabs>
              <w:jc w:val="center"/>
              <w:rPr>
                <w:b/>
                <w:bCs/>
                <w:lang w:val="fr-FR"/>
              </w:rPr>
            </w:pPr>
            <w:r w:rsidRPr="00623985">
              <w:rPr>
                <w:b/>
                <w:bCs/>
                <w:lang w:val="fr-FR"/>
              </w:rPr>
              <w:t>DATE</w:t>
            </w:r>
          </w:p>
        </w:tc>
        <w:tc>
          <w:tcPr>
            <w:tcW w:w="2866" w:type="dxa"/>
            <w:vAlign w:val="center"/>
          </w:tcPr>
          <w:p w:rsidR="002615D5" w:rsidRPr="00623985" w:rsidRDefault="00623985" w:rsidP="00623985">
            <w:pPr>
              <w:tabs>
                <w:tab w:val="left" w:pos="567"/>
              </w:tabs>
              <w:jc w:val="center"/>
              <w:rPr>
                <w:b/>
                <w:bCs/>
                <w:lang w:val="fr-FR"/>
              </w:rPr>
            </w:pPr>
            <w:r w:rsidRPr="00623985">
              <w:rPr>
                <w:b/>
                <w:bCs/>
                <w:lang w:val="fr-FR"/>
              </w:rPr>
              <w:t xml:space="preserve">DETAILS DE </w:t>
            </w:r>
            <w:r w:rsidR="002615D5" w:rsidRPr="00623985">
              <w:rPr>
                <w:b/>
                <w:bCs/>
                <w:lang w:val="fr-FR"/>
              </w:rPr>
              <w:t xml:space="preserve">REVISION </w:t>
            </w:r>
          </w:p>
        </w:tc>
        <w:tc>
          <w:tcPr>
            <w:tcW w:w="2505" w:type="dxa"/>
            <w:vAlign w:val="center"/>
          </w:tcPr>
          <w:p w:rsidR="002615D5" w:rsidRPr="00623985" w:rsidRDefault="002615D5" w:rsidP="00623985">
            <w:pPr>
              <w:tabs>
                <w:tab w:val="left" w:pos="567"/>
              </w:tabs>
              <w:jc w:val="center"/>
              <w:rPr>
                <w:b/>
                <w:bCs/>
                <w:lang w:val="fr-FR"/>
              </w:rPr>
            </w:pPr>
            <w:r w:rsidRPr="00623985">
              <w:rPr>
                <w:b/>
                <w:bCs/>
                <w:lang w:val="fr-FR"/>
              </w:rPr>
              <w:t xml:space="preserve">REASON </w:t>
            </w:r>
            <w:r w:rsidR="00623985" w:rsidRPr="00623985">
              <w:rPr>
                <w:b/>
                <w:bCs/>
                <w:lang w:val="fr-FR"/>
              </w:rPr>
              <w:t>DE</w:t>
            </w:r>
            <w:r w:rsidRPr="00623985">
              <w:rPr>
                <w:b/>
                <w:bCs/>
                <w:lang w:val="fr-FR"/>
              </w:rPr>
              <w:t xml:space="preserve"> REVISION</w:t>
            </w:r>
          </w:p>
        </w:tc>
      </w:tr>
      <w:tr w:rsidR="00623985" w:rsidRPr="00623985" w:rsidTr="00CB7436">
        <w:tc>
          <w:tcPr>
            <w:tcW w:w="1403" w:type="dxa"/>
            <w:vAlign w:val="center"/>
          </w:tcPr>
          <w:p w:rsidR="002615D5" w:rsidRPr="00623985" w:rsidRDefault="002615D5" w:rsidP="002615D5">
            <w:pPr>
              <w:tabs>
                <w:tab w:val="left" w:pos="567"/>
              </w:tabs>
              <w:jc w:val="center"/>
              <w:rPr>
                <w:bCs/>
                <w:lang w:val="fr-FR"/>
              </w:rPr>
            </w:pPr>
          </w:p>
        </w:tc>
        <w:tc>
          <w:tcPr>
            <w:tcW w:w="1548" w:type="dxa"/>
            <w:vAlign w:val="center"/>
          </w:tcPr>
          <w:p w:rsidR="002615D5" w:rsidRPr="00623985" w:rsidRDefault="002615D5" w:rsidP="002615D5">
            <w:pPr>
              <w:tabs>
                <w:tab w:val="left" w:pos="567"/>
              </w:tabs>
              <w:jc w:val="center"/>
              <w:rPr>
                <w:bCs/>
                <w:lang w:val="fr-FR"/>
              </w:rPr>
            </w:pPr>
          </w:p>
        </w:tc>
        <w:tc>
          <w:tcPr>
            <w:tcW w:w="2866" w:type="dxa"/>
            <w:vAlign w:val="center"/>
          </w:tcPr>
          <w:p w:rsidR="009A7FB9" w:rsidRPr="00623985" w:rsidRDefault="009A7FB9" w:rsidP="00CB7436">
            <w:pPr>
              <w:tabs>
                <w:tab w:val="left" w:pos="567"/>
              </w:tabs>
              <w:ind w:left="575" w:hanging="575"/>
              <w:rPr>
                <w:bCs/>
                <w:lang w:val="fr-FR"/>
              </w:rPr>
            </w:pPr>
          </w:p>
        </w:tc>
        <w:tc>
          <w:tcPr>
            <w:tcW w:w="2505" w:type="dxa"/>
            <w:vAlign w:val="center"/>
          </w:tcPr>
          <w:p w:rsidR="002615D5" w:rsidRPr="00623985" w:rsidRDefault="002615D5" w:rsidP="009A7FB9">
            <w:pPr>
              <w:tabs>
                <w:tab w:val="left" w:pos="567"/>
              </w:tabs>
              <w:rPr>
                <w:bCs/>
                <w:lang w:val="fr-FR"/>
              </w:rPr>
            </w:pPr>
          </w:p>
        </w:tc>
      </w:tr>
    </w:tbl>
    <w:p w:rsidR="002615D5" w:rsidRPr="00623985" w:rsidRDefault="002615D5" w:rsidP="002615D5">
      <w:pPr>
        <w:jc w:val="both"/>
        <w:rPr>
          <w:lang w:val="fr-FR"/>
        </w:rPr>
      </w:pPr>
    </w:p>
    <w:sectPr w:rsidR="002615D5" w:rsidRPr="00623985" w:rsidSect="008620F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A4" w:rsidRDefault="00E013A4">
      <w:r>
        <w:separator/>
      </w:r>
    </w:p>
  </w:endnote>
  <w:endnote w:type="continuationSeparator" w:id="0">
    <w:p w:rsidR="00E013A4" w:rsidRDefault="00E0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C6" w:rsidRDefault="003C1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C6" w:rsidRDefault="003C14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C6" w:rsidRDefault="003C1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A4" w:rsidRDefault="00E013A4">
      <w:r>
        <w:separator/>
      </w:r>
    </w:p>
  </w:footnote>
  <w:footnote w:type="continuationSeparator" w:id="0">
    <w:p w:rsidR="00E013A4" w:rsidRDefault="00E01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C6" w:rsidRDefault="003C14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11" w:rsidRDefault="00822711">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t>D</w:t>
    </w:r>
    <w:r w:rsidR="008D6578">
      <w:t>ocument Number</w:t>
    </w:r>
    <w:r>
      <w:t>:</w:t>
    </w:r>
    <w:r w:rsidR="00B84CE8">
      <w:t xml:space="preserve"> SOP</w:t>
    </w:r>
    <w:r w:rsidR="003C14C6">
      <w:t>-</w:t>
    </w:r>
    <w:r w:rsidR="00B84CE8">
      <w:t>06-1</w:t>
    </w:r>
    <w:r>
      <w:tab/>
    </w:r>
    <w:r>
      <w:tab/>
      <w:t xml:space="preserve">Page </w:t>
    </w:r>
    <w:r>
      <w:fldChar w:fldCharType="begin"/>
    </w:r>
    <w:r>
      <w:instrText xml:space="preserve"> PAGE </w:instrText>
    </w:r>
    <w:r>
      <w:fldChar w:fldCharType="separate"/>
    </w:r>
    <w:r w:rsidR="0033316C">
      <w:rPr>
        <w:noProof/>
      </w:rPr>
      <w:t>3</w:t>
    </w:r>
    <w:r>
      <w:fldChar w:fldCharType="end"/>
    </w:r>
    <w:r>
      <w:t xml:space="preserve"> of </w:t>
    </w:r>
    <w:r>
      <w:fldChar w:fldCharType="begin"/>
    </w:r>
    <w:r>
      <w:instrText xml:space="preserve"> NUMPAGES </w:instrText>
    </w:r>
    <w:r>
      <w:fldChar w:fldCharType="separate"/>
    </w:r>
    <w:r w:rsidR="0033316C">
      <w:rPr>
        <w:noProof/>
      </w:rPr>
      <w:t>3</w:t>
    </w:r>
    <w:r>
      <w:fldChar w:fldCharType="end"/>
    </w:r>
  </w:p>
  <w:p w:rsidR="00822711" w:rsidRDefault="00822711">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t>Author             : Sign</w:t>
    </w:r>
  </w:p>
  <w:p w:rsidR="00822711" w:rsidRDefault="00822711">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t>Approved        : Sign</w:t>
    </w:r>
  </w:p>
  <w:p w:rsidR="00822711" w:rsidRDefault="00822711">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11" w:rsidRPr="002328B2" w:rsidRDefault="00822711" w:rsidP="00303D3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2"/>
      </w:rPr>
    </w:pPr>
    <w:r w:rsidRPr="002328B2">
      <w:rPr>
        <w:rFonts w:asciiTheme="minorHAnsi" w:hAnsiTheme="minorHAnsi"/>
        <w:sz w:val="22"/>
      </w:rPr>
      <w:t xml:space="preserve">Document Number: </w:t>
    </w:r>
    <w:r w:rsidR="00B84CE8">
      <w:rPr>
        <w:rFonts w:asciiTheme="minorHAnsi" w:hAnsiTheme="minorHAnsi"/>
        <w:sz w:val="22"/>
      </w:rPr>
      <w:t>SOP</w:t>
    </w:r>
    <w:r w:rsidR="003C14C6">
      <w:rPr>
        <w:rFonts w:asciiTheme="minorHAnsi" w:hAnsiTheme="minorHAnsi"/>
        <w:sz w:val="22"/>
      </w:rPr>
      <w:t>-</w:t>
    </w:r>
    <w:r w:rsidR="0033316C">
      <w:rPr>
        <w:rFonts w:asciiTheme="minorHAnsi" w:hAnsiTheme="minorHAnsi"/>
        <w:sz w:val="22"/>
      </w:rPr>
      <w:t>06-0</w:t>
    </w:r>
    <w:bookmarkStart w:id="0" w:name="_GoBack"/>
    <w:bookmarkEnd w:id="0"/>
    <w:r w:rsidR="00B84CE8">
      <w:rPr>
        <w:rFonts w:asciiTheme="minorHAnsi" w:hAnsiTheme="minorHAnsi"/>
        <w:sz w:val="22"/>
      </w:rPr>
      <w:tab/>
    </w:r>
    <w:r w:rsidR="002328B2">
      <w:rPr>
        <w:rFonts w:asciiTheme="minorHAnsi" w:hAnsiTheme="minorHAnsi"/>
        <w:sz w:val="22"/>
      </w:rPr>
      <w:tab/>
    </w:r>
    <w:r w:rsidRPr="002328B2">
      <w:rPr>
        <w:rFonts w:asciiTheme="minorHAnsi" w:hAnsiTheme="minorHAnsi"/>
        <w:sz w:val="22"/>
      </w:rPr>
      <w:t xml:space="preserve">Page </w:t>
    </w:r>
    <w:r w:rsidRPr="002328B2">
      <w:rPr>
        <w:rFonts w:asciiTheme="minorHAnsi" w:hAnsiTheme="minorHAnsi"/>
        <w:sz w:val="22"/>
      </w:rPr>
      <w:fldChar w:fldCharType="begin"/>
    </w:r>
    <w:r w:rsidRPr="002328B2">
      <w:rPr>
        <w:rFonts w:asciiTheme="minorHAnsi" w:hAnsiTheme="minorHAnsi"/>
        <w:sz w:val="22"/>
      </w:rPr>
      <w:instrText xml:space="preserve"> PAGE </w:instrText>
    </w:r>
    <w:r w:rsidRPr="002328B2">
      <w:rPr>
        <w:rFonts w:asciiTheme="minorHAnsi" w:hAnsiTheme="minorHAnsi"/>
        <w:sz w:val="22"/>
      </w:rPr>
      <w:fldChar w:fldCharType="separate"/>
    </w:r>
    <w:r w:rsidR="0033316C">
      <w:rPr>
        <w:rFonts w:asciiTheme="minorHAnsi" w:hAnsiTheme="minorHAnsi"/>
        <w:noProof/>
        <w:sz w:val="22"/>
      </w:rPr>
      <w:t>1</w:t>
    </w:r>
    <w:r w:rsidRPr="002328B2">
      <w:rPr>
        <w:rFonts w:asciiTheme="minorHAnsi" w:hAnsiTheme="minorHAnsi"/>
        <w:sz w:val="22"/>
      </w:rPr>
      <w:fldChar w:fldCharType="end"/>
    </w:r>
    <w:r w:rsidRPr="002328B2">
      <w:rPr>
        <w:rFonts w:asciiTheme="minorHAnsi" w:hAnsiTheme="minorHAnsi"/>
        <w:sz w:val="22"/>
      </w:rPr>
      <w:t xml:space="preserve"> of </w:t>
    </w:r>
    <w:r w:rsidRPr="002328B2">
      <w:rPr>
        <w:rFonts w:asciiTheme="minorHAnsi" w:hAnsiTheme="minorHAnsi"/>
        <w:sz w:val="22"/>
      </w:rPr>
      <w:fldChar w:fldCharType="begin"/>
    </w:r>
    <w:r w:rsidRPr="002328B2">
      <w:rPr>
        <w:rFonts w:asciiTheme="minorHAnsi" w:hAnsiTheme="minorHAnsi"/>
        <w:sz w:val="22"/>
      </w:rPr>
      <w:instrText xml:space="preserve"> NUMPAGES </w:instrText>
    </w:r>
    <w:r w:rsidRPr="002328B2">
      <w:rPr>
        <w:rFonts w:asciiTheme="minorHAnsi" w:hAnsiTheme="minorHAnsi"/>
        <w:sz w:val="22"/>
      </w:rPr>
      <w:fldChar w:fldCharType="separate"/>
    </w:r>
    <w:r w:rsidR="0033316C">
      <w:rPr>
        <w:rFonts w:asciiTheme="minorHAnsi" w:hAnsiTheme="minorHAnsi"/>
        <w:noProof/>
        <w:sz w:val="22"/>
      </w:rPr>
      <w:t>3</w:t>
    </w:r>
    <w:r w:rsidRPr="002328B2">
      <w:rPr>
        <w:rFonts w:asciiTheme="minorHAnsi" w:hAnsiTheme="minorHAnsi"/>
        <w:sz w:val="22"/>
      </w:rPr>
      <w:fldChar w:fldCharType="end"/>
    </w:r>
  </w:p>
  <w:p w:rsidR="00D13DE0" w:rsidRDefault="00D13DE0" w:rsidP="00D13DE0">
    <w:pPr>
      <w:pStyle w:val="Header"/>
      <w:pBdr>
        <w:top w:val="single" w:sz="4" w:space="1" w:color="auto"/>
        <w:left w:val="single" w:sz="4" w:space="4" w:color="auto"/>
        <w:bottom w:val="single" w:sz="4" w:space="1" w:color="auto"/>
        <w:right w:val="single" w:sz="4" w:space="4" w:color="auto"/>
        <w:between w:val="single" w:sz="4" w:space="1" w:color="auto"/>
      </w:pBdr>
      <w:rPr>
        <w:lang w:val="fr-FR"/>
      </w:rPr>
    </w:pPr>
    <w:r>
      <w:rPr>
        <w:lang w:val="fr-FR"/>
      </w:rPr>
      <w:t>Effective Date: E</w:t>
    </w:r>
    <w:r>
      <w:rPr>
        <w:i/>
        <w:lang w:val="fr-FR"/>
      </w:rPr>
      <w:t>ntrer la date que le mode opératoire sera en vigueur (Considérer le temps de formation)</w:t>
    </w:r>
  </w:p>
  <w:p w:rsidR="00D13DE0" w:rsidRDefault="00D13DE0" w:rsidP="00D13DE0">
    <w:pPr>
      <w:pStyle w:val="Header"/>
      <w:pBdr>
        <w:top w:val="single" w:sz="4" w:space="1" w:color="auto"/>
        <w:left w:val="single" w:sz="4" w:space="4" w:color="auto"/>
        <w:bottom w:val="single" w:sz="4" w:space="1" w:color="auto"/>
        <w:right w:val="single" w:sz="4" w:space="4" w:color="auto"/>
        <w:between w:val="single" w:sz="4" w:space="1" w:color="auto"/>
      </w:pBdr>
      <w:rPr>
        <w:lang w:val="fr-FR"/>
      </w:rPr>
    </w:pPr>
    <w:r>
      <w:rPr>
        <w:lang w:val="fr-FR"/>
      </w:rPr>
      <w:t>Auteur            : Nom</w:t>
    </w:r>
    <w:r>
      <w:rPr>
        <w:lang w:val="fr-FR"/>
      </w:rPr>
      <w:tab/>
      <w:t>Sign</w:t>
    </w:r>
  </w:p>
  <w:p w:rsidR="00822711" w:rsidRPr="002328B2" w:rsidRDefault="00D13DE0" w:rsidP="00D13DE0">
    <w:pPr>
      <w:pStyle w:val="Header"/>
      <w:pBdr>
        <w:top w:val="single" w:sz="4" w:space="1" w:color="auto"/>
        <w:left w:val="single" w:sz="4" w:space="4" w:color="auto"/>
        <w:bottom w:val="single" w:sz="4" w:space="1" w:color="auto"/>
        <w:right w:val="single" w:sz="4" w:space="4" w:color="auto"/>
      </w:pBdr>
      <w:rPr>
        <w:rFonts w:asciiTheme="minorHAnsi" w:hAnsiTheme="minorHAnsi"/>
        <w:sz w:val="22"/>
      </w:rPr>
    </w:pPr>
    <w:r>
      <w:rPr>
        <w:lang w:val="fr-FR"/>
      </w:rPr>
      <w:t>Apprové         : Nom</w:t>
    </w:r>
    <w:r>
      <w:rPr>
        <w:lang w:val="fr-FR"/>
      </w:rPr>
      <w:tab/>
      <w:t>Sign</w:t>
    </w:r>
    <w:r w:rsidR="00822711" w:rsidRPr="002328B2">
      <w:rPr>
        <w:rFonts w:asciiTheme="minorHAnsi" w:hAnsiTheme="minorHAnsi"/>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4BD"/>
    <w:multiLevelType w:val="multilevel"/>
    <w:tmpl w:val="1C09001F"/>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F847DC"/>
    <w:multiLevelType w:val="multilevel"/>
    <w:tmpl w:val="12303EE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6F14059"/>
    <w:multiLevelType w:val="multilevel"/>
    <w:tmpl w:val="BBE240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trike w:val="0"/>
        <w:dstrike w:val="0"/>
      </w:rPr>
    </w:lvl>
    <w:lvl w:ilvl="2">
      <w:start w:val="1"/>
      <w:numFmt w:val="decimal"/>
      <w:lvlText w:val="%1.%2.%3."/>
      <w:lvlJc w:val="left"/>
      <w:pPr>
        <w:ind w:left="1224" w:hanging="504"/>
      </w:pPr>
      <w:rPr>
        <w:rFonts w:hint="default"/>
        <w:b w:val="0"/>
        <w:i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84D0126"/>
    <w:multiLevelType w:val="multilevel"/>
    <w:tmpl w:val="A73E8F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0D50BB1"/>
    <w:multiLevelType w:val="multilevel"/>
    <w:tmpl w:val="12CC95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ascii="Times New Roman" w:hAnsi="Times New Roman" w:hint="default"/>
        <w:b w:val="0"/>
        <w:i w:val="0"/>
        <w:sz w:val="24"/>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69"/>
    <w:rsid w:val="00005480"/>
    <w:rsid w:val="000229AF"/>
    <w:rsid w:val="00037968"/>
    <w:rsid w:val="0004020B"/>
    <w:rsid w:val="0004343E"/>
    <w:rsid w:val="00043C1B"/>
    <w:rsid w:val="000505BD"/>
    <w:rsid w:val="00072A88"/>
    <w:rsid w:val="000A0504"/>
    <w:rsid w:val="000E4CBD"/>
    <w:rsid w:val="000E75A0"/>
    <w:rsid w:val="000F04C2"/>
    <w:rsid w:val="000F73C2"/>
    <w:rsid w:val="00111185"/>
    <w:rsid w:val="00113C2A"/>
    <w:rsid w:val="001663EC"/>
    <w:rsid w:val="001679B1"/>
    <w:rsid w:val="0017115E"/>
    <w:rsid w:val="001A4ECD"/>
    <w:rsid w:val="001B6F54"/>
    <w:rsid w:val="001C260F"/>
    <w:rsid w:val="001F0C56"/>
    <w:rsid w:val="001F5578"/>
    <w:rsid w:val="001F76A6"/>
    <w:rsid w:val="00202A82"/>
    <w:rsid w:val="002328B2"/>
    <w:rsid w:val="002405B2"/>
    <w:rsid w:val="002538BA"/>
    <w:rsid w:val="002615D5"/>
    <w:rsid w:val="00262A1E"/>
    <w:rsid w:val="0026571A"/>
    <w:rsid w:val="00297E0D"/>
    <w:rsid w:val="002E067F"/>
    <w:rsid w:val="00303D35"/>
    <w:rsid w:val="0031244D"/>
    <w:rsid w:val="00332CAF"/>
    <w:rsid w:val="0033316C"/>
    <w:rsid w:val="00345DCF"/>
    <w:rsid w:val="0036168B"/>
    <w:rsid w:val="00381197"/>
    <w:rsid w:val="00382DA1"/>
    <w:rsid w:val="003A7C4C"/>
    <w:rsid w:val="003B2E48"/>
    <w:rsid w:val="003C14C6"/>
    <w:rsid w:val="003C4641"/>
    <w:rsid w:val="003C46D1"/>
    <w:rsid w:val="003F1A38"/>
    <w:rsid w:val="003F25AC"/>
    <w:rsid w:val="004109F0"/>
    <w:rsid w:val="004C3B2E"/>
    <w:rsid w:val="004D77C3"/>
    <w:rsid w:val="00500DFF"/>
    <w:rsid w:val="00536FD5"/>
    <w:rsid w:val="00551228"/>
    <w:rsid w:val="0055272C"/>
    <w:rsid w:val="005636A1"/>
    <w:rsid w:val="00582028"/>
    <w:rsid w:val="00591BD8"/>
    <w:rsid w:val="005938E4"/>
    <w:rsid w:val="00597F2E"/>
    <w:rsid w:val="005F1378"/>
    <w:rsid w:val="005F4911"/>
    <w:rsid w:val="00601545"/>
    <w:rsid w:val="00612E0A"/>
    <w:rsid w:val="00623985"/>
    <w:rsid w:val="00661055"/>
    <w:rsid w:val="00662BF0"/>
    <w:rsid w:val="006A5D36"/>
    <w:rsid w:val="006B051B"/>
    <w:rsid w:val="006C509C"/>
    <w:rsid w:val="006E255C"/>
    <w:rsid w:val="006E2B8B"/>
    <w:rsid w:val="006E791A"/>
    <w:rsid w:val="006F7DF9"/>
    <w:rsid w:val="00713D13"/>
    <w:rsid w:val="0072372A"/>
    <w:rsid w:val="0075650A"/>
    <w:rsid w:val="00790D3A"/>
    <w:rsid w:val="007A2243"/>
    <w:rsid w:val="007B6EBA"/>
    <w:rsid w:val="007E013D"/>
    <w:rsid w:val="00822711"/>
    <w:rsid w:val="00850B5B"/>
    <w:rsid w:val="008620FE"/>
    <w:rsid w:val="00864A8C"/>
    <w:rsid w:val="00870F67"/>
    <w:rsid w:val="008937E7"/>
    <w:rsid w:val="008B3FEF"/>
    <w:rsid w:val="008C55D7"/>
    <w:rsid w:val="008D6578"/>
    <w:rsid w:val="008E24D5"/>
    <w:rsid w:val="008F525B"/>
    <w:rsid w:val="00902633"/>
    <w:rsid w:val="009244F8"/>
    <w:rsid w:val="00925C66"/>
    <w:rsid w:val="009311E8"/>
    <w:rsid w:val="00957F3B"/>
    <w:rsid w:val="009852C1"/>
    <w:rsid w:val="009A4CEC"/>
    <w:rsid w:val="009A7FB9"/>
    <w:rsid w:val="009C60BC"/>
    <w:rsid w:val="00A00F42"/>
    <w:rsid w:val="00A076BC"/>
    <w:rsid w:val="00A63CAE"/>
    <w:rsid w:val="00A74F2F"/>
    <w:rsid w:val="00AC0322"/>
    <w:rsid w:val="00AC5353"/>
    <w:rsid w:val="00AD6EBA"/>
    <w:rsid w:val="00AE1869"/>
    <w:rsid w:val="00AE1C89"/>
    <w:rsid w:val="00AF05FF"/>
    <w:rsid w:val="00AF5171"/>
    <w:rsid w:val="00B02CED"/>
    <w:rsid w:val="00B07047"/>
    <w:rsid w:val="00B07DBF"/>
    <w:rsid w:val="00B240E3"/>
    <w:rsid w:val="00B26881"/>
    <w:rsid w:val="00B4331D"/>
    <w:rsid w:val="00B74C89"/>
    <w:rsid w:val="00B75CAB"/>
    <w:rsid w:val="00B84CE8"/>
    <w:rsid w:val="00B93DDB"/>
    <w:rsid w:val="00BB3CCC"/>
    <w:rsid w:val="00C237FB"/>
    <w:rsid w:val="00C5155E"/>
    <w:rsid w:val="00C6565C"/>
    <w:rsid w:val="00C731E3"/>
    <w:rsid w:val="00C97615"/>
    <w:rsid w:val="00CB7436"/>
    <w:rsid w:val="00CC3804"/>
    <w:rsid w:val="00CE0A3A"/>
    <w:rsid w:val="00CF533C"/>
    <w:rsid w:val="00D13DE0"/>
    <w:rsid w:val="00D203D6"/>
    <w:rsid w:val="00D2147B"/>
    <w:rsid w:val="00D371BB"/>
    <w:rsid w:val="00D448BD"/>
    <w:rsid w:val="00D519E6"/>
    <w:rsid w:val="00D5472B"/>
    <w:rsid w:val="00D75DB9"/>
    <w:rsid w:val="00DA36FE"/>
    <w:rsid w:val="00E013A4"/>
    <w:rsid w:val="00E23089"/>
    <w:rsid w:val="00E26259"/>
    <w:rsid w:val="00E9125A"/>
    <w:rsid w:val="00E947A9"/>
    <w:rsid w:val="00EA140F"/>
    <w:rsid w:val="00EB6BDA"/>
    <w:rsid w:val="00ED1F0E"/>
    <w:rsid w:val="00ED7A90"/>
    <w:rsid w:val="00EE1373"/>
    <w:rsid w:val="00F04C8C"/>
    <w:rsid w:val="00F11471"/>
    <w:rsid w:val="00F137B0"/>
    <w:rsid w:val="00F231BF"/>
    <w:rsid w:val="00F53327"/>
    <w:rsid w:val="00F60B02"/>
    <w:rsid w:val="00F71EA3"/>
    <w:rsid w:val="00F764C2"/>
    <w:rsid w:val="00FA0EBD"/>
    <w:rsid w:val="00FA463D"/>
    <w:rsid w:val="00FA6FDD"/>
    <w:rsid w:val="00FB20F2"/>
    <w:rsid w:val="00FB517C"/>
    <w:rsid w:val="00FB708D"/>
    <w:rsid w:val="00FE47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91BD8"/>
    <w:rPr>
      <w:rFonts w:ascii="Tahoma" w:hAnsi="Tahoma" w:cs="Tahoma"/>
      <w:sz w:val="16"/>
      <w:szCs w:val="16"/>
    </w:rPr>
  </w:style>
  <w:style w:type="character" w:customStyle="1" w:styleId="BalloonTextChar">
    <w:name w:val="Balloon Text Char"/>
    <w:link w:val="BalloonText"/>
    <w:rsid w:val="00591BD8"/>
    <w:rPr>
      <w:rFonts w:ascii="Tahoma" w:hAnsi="Tahoma" w:cs="Tahoma"/>
      <w:sz w:val="16"/>
      <w:szCs w:val="16"/>
    </w:rPr>
  </w:style>
  <w:style w:type="paragraph" w:styleId="ListParagraph">
    <w:name w:val="List Paragraph"/>
    <w:basedOn w:val="Normal"/>
    <w:uiPriority w:val="34"/>
    <w:qFormat/>
    <w:rsid w:val="002615D5"/>
    <w:pPr>
      <w:ind w:left="720"/>
      <w:contextualSpacing/>
    </w:pPr>
  </w:style>
  <w:style w:type="paragraph" w:customStyle="1" w:styleId="Default">
    <w:name w:val="Default"/>
    <w:rsid w:val="008620FE"/>
    <w:pPr>
      <w:autoSpaceDE w:val="0"/>
      <w:autoSpaceDN w:val="0"/>
      <w:adjustRightInd w:val="0"/>
    </w:pPr>
    <w:rPr>
      <w:rFonts w:ascii="Arial" w:eastAsia="Calibri" w:hAnsi="Arial" w:cs="Arial"/>
      <w:color w:val="000000"/>
      <w:sz w:val="24"/>
      <w:szCs w:val="24"/>
      <w:lang w:val="en-US" w:eastAsia="en-US"/>
    </w:rPr>
  </w:style>
  <w:style w:type="character" w:customStyle="1" w:styleId="HeaderChar">
    <w:name w:val="Header Char"/>
    <w:basedOn w:val="DefaultParagraphFont"/>
    <w:link w:val="Header"/>
    <w:rsid w:val="00D13DE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91BD8"/>
    <w:rPr>
      <w:rFonts w:ascii="Tahoma" w:hAnsi="Tahoma" w:cs="Tahoma"/>
      <w:sz w:val="16"/>
      <w:szCs w:val="16"/>
    </w:rPr>
  </w:style>
  <w:style w:type="character" w:customStyle="1" w:styleId="BalloonTextChar">
    <w:name w:val="Balloon Text Char"/>
    <w:link w:val="BalloonText"/>
    <w:rsid w:val="00591BD8"/>
    <w:rPr>
      <w:rFonts w:ascii="Tahoma" w:hAnsi="Tahoma" w:cs="Tahoma"/>
      <w:sz w:val="16"/>
      <w:szCs w:val="16"/>
    </w:rPr>
  </w:style>
  <w:style w:type="paragraph" w:styleId="ListParagraph">
    <w:name w:val="List Paragraph"/>
    <w:basedOn w:val="Normal"/>
    <w:uiPriority w:val="34"/>
    <w:qFormat/>
    <w:rsid w:val="002615D5"/>
    <w:pPr>
      <w:ind w:left="720"/>
      <w:contextualSpacing/>
    </w:pPr>
  </w:style>
  <w:style w:type="paragraph" w:customStyle="1" w:styleId="Default">
    <w:name w:val="Default"/>
    <w:rsid w:val="008620FE"/>
    <w:pPr>
      <w:autoSpaceDE w:val="0"/>
      <w:autoSpaceDN w:val="0"/>
      <w:adjustRightInd w:val="0"/>
    </w:pPr>
    <w:rPr>
      <w:rFonts w:ascii="Arial" w:eastAsia="Calibri" w:hAnsi="Arial" w:cs="Arial"/>
      <w:color w:val="000000"/>
      <w:sz w:val="24"/>
      <w:szCs w:val="24"/>
      <w:lang w:val="en-US" w:eastAsia="en-US"/>
    </w:rPr>
  </w:style>
  <w:style w:type="character" w:customStyle="1" w:styleId="HeaderChar">
    <w:name w:val="Header Char"/>
    <w:basedOn w:val="DefaultParagraphFont"/>
    <w:link w:val="Header"/>
    <w:rsid w:val="00D13DE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29679">
      <w:bodyDiv w:val="1"/>
      <w:marLeft w:val="0"/>
      <w:marRight w:val="0"/>
      <w:marTop w:val="0"/>
      <w:marBottom w:val="0"/>
      <w:divBdr>
        <w:top w:val="none" w:sz="0" w:space="0" w:color="auto"/>
        <w:left w:val="none" w:sz="0" w:space="0" w:color="auto"/>
        <w:bottom w:val="none" w:sz="0" w:space="0" w:color="auto"/>
        <w:right w:val="none" w:sz="0" w:space="0" w:color="auto"/>
      </w:divBdr>
    </w:div>
    <w:div w:id="156849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tscomputer\My%20Documents\Quality\Templates\Standard%20Operating%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Template>
  <TotalTime>152</TotalTime>
  <Pages>1</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BLOOD TRANSFUSION SERVICE OF NAMIBIA</vt:lpstr>
    </vt:vector>
  </TitlesOfParts>
  <Company>Private</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BLOOD TRANSFUSION SERVICE OF NAMIBIA</dc:title>
  <dc:creator>bts</dc:creator>
  <cp:lastModifiedBy>user</cp:lastModifiedBy>
  <cp:revision>63</cp:revision>
  <cp:lastPrinted>2012-03-02T08:13:00Z</cp:lastPrinted>
  <dcterms:created xsi:type="dcterms:W3CDTF">2014-11-12T07:39:00Z</dcterms:created>
  <dcterms:modified xsi:type="dcterms:W3CDTF">2016-04-10T08:30:00Z</dcterms:modified>
</cp:coreProperties>
</file>